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604AB">
      <w:pPr>
        <w:jc w:val="center"/>
      </w:pPr>
    </w:p>
    <w:p w14:paraId="5F1850E3">
      <w:pPr>
        <w:jc w:val="both"/>
        <w:rPr>
          <w:rFonts w:hint="eastAsia"/>
          <w:b/>
          <w:sz w:val="72"/>
          <w:szCs w:val="56"/>
        </w:rPr>
      </w:pPr>
    </w:p>
    <w:p w14:paraId="2290EB89">
      <w:pPr>
        <w:jc w:val="both"/>
        <w:rPr>
          <w:rFonts w:hint="eastAsia"/>
          <w:b/>
          <w:sz w:val="60"/>
          <w:szCs w:val="52"/>
        </w:rPr>
      </w:pPr>
      <w:r>
        <w:rPr>
          <w:rFonts w:hint="eastAsia"/>
          <w:b/>
          <w:sz w:val="60"/>
          <w:szCs w:val="52"/>
        </w:rPr>
        <w:t>智能化α、β表面污染检测仪</w:t>
      </w:r>
      <w:r>
        <w:rPr>
          <w:rFonts w:hint="eastAsia"/>
          <w:b/>
          <w:sz w:val="72"/>
          <w:szCs w:val="56"/>
        </w:rPr>
        <w:t xml:space="preserve"> </w:t>
      </w:r>
      <w:r>
        <w:rPr>
          <w:rFonts w:hint="eastAsia"/>
          <w:b/>
          <w:sz w:val="60"/>
          <w:szCs w:val="52"/>
        </w:rPr>
        <w:t xml:space="preserve">   </w:t>
      </w:r>
    </w:p>
    <w:p w14:paraId="002AF8CE">
      <w:pPr>
        <w:jc w:val="center"/>
        <w:rPr>
          <w:rFonts w:hint="default" w:eastAsia="宋体"/>
          <w:b/>
          <w:sz w:val="52"/>
          <w:szCs w:val="44"/>
          <w:lang w:val="en-US" w:eastAsia="zh-CN"/>
        </w:rPr>
      </w:pPr>
      <w:r>
        <w:rPr>
          <w:rFonts w:hint="eastAsia"/>
          <w:b/>
          <w:sz w:val="52"/>
          <w:szCs w:val="44"/>
        </w:rPr>
        <w:t>BGA10A</w:t>
      </w:r>
      <w:r>
        <w:rPr>
          <w:rFonts w:hint="eastAsia"/>
          <w:b/>
          <w:sz w:val="52"/>
          <w:szCs w:val="44"/>
          <w:lang w:val="en-US" w:eastAsia="zh-CN"/>
        </w:rPr>
        <w:t xml:space="preserve"> 型</w:t>
      </w:r>
    </w:p>
    <w:p w14:paraId="5681B5ED">
      <w:pPr>
        <w:jc w:val="center"/>
        <w:rPr>
          <w:b/>
          <w:sz w:val="44"/>
          <w:szCs w:val="44"/>
        </w:rPr>
      </w:pPr>
    </w:p>
    <w:p w14:paraId="44B8A4F2">
      <w:pPr>
        <w:jc w:val="center"/>
        <w:rPr>
          <w:b/>
          <w:sz w:val="44"/>
          <w:szCs w:val="44"/>
        </w:rPr>
      </w:pPr>
    </w:p>
    <w:p w14:paraId="6CC3A8E6">
      <w:pPr>
        <w:jc w:val="center"/>
        <w:rPr>
          <w:b/>
          <w:sz w:val="56"/>
          <w:szCs w:val="56"/>
        </w:rPr>
      </w:pPr>
      <w:r>
        <w:rPr>
          <w:b/>
          <w:sz w:val="56"/>
          <w:szCs w:val="56"/>
        </w:rPr>
        <w:t>使用说明书</w:t>
      </w:r>
    </w:p>
    <w:p w14:paraId="7C708244">
      <w:pPr>
        <w:jc w:val="center"/>
        <w:rPr>
          <w:b/>
          <w:sz w:val="56"/>
          <w:szCs w:val="56"/>
        </w:rPr>
      </w:pPr>
    </w:p>
    <w:p w14:paraId="115D4531">
      <w:pPr>
        <w:jc w:val="center"/>
      </w:pPr>
    </w:p>
    <w:p w14:paraId="7893754F"/>
    <w:p w14:paraId="09BBBD89"/>
    <w:p w14:paraId="602A9F66">
      <w:pPr>
        <w:jc w:val="center"/>
      </w:pPr>
    </w:p>
    <w:p w14:paraId="3B1BF5DF">
      <w:pPr>
        <w:jc w:val="center"/>
      </w:pPr>
    </w:p>
    <w:p w14:paraId="1A42AA01">
      <w:pPr>
        <w:jc w:val="center"/>
      </w:pPr>
    </w:p>
    <w:p w14:paraId="18B6D7DC">
      <w:pPr>
        <w:ind w:firstLine="602" w:firstLineChars="100"/>
        <w:jc w:val="left"/>
        <w:rPr>
          <w:rFonts w:hint="eastAsia"/>
          <w:b/>
          <w:sz w:val="60"/>
          <w:szCs w:val="60"/>
          <w:lang w:val="en-US" w:eastAsia="zh-CN"/>
        </w:rPr>
      </w:pPr>
    </w:p>
    <w:p w14:paraId="7021CC6C">
      <w:pPr>
        <w:ind w:firstLine="602" w:firstLineChars="100"/>
        <w:jc w:val="left"/>
        <w:rPr>
          <w:b/>
          <w:sz w:val="60"/>
          <w:szCs w:val="60"/>
        </w:rPr>
      </w:pPr>
      <w:r>
        <w:rPr>
          <w:rFonts w:hint="eastAsia"/>
          <w:b/>
          <w:sz w:val="60"/>
          <w:szCs w:val="60"/>
          <w:lang w:val="en-US" w:eastAsia="zh-CN"/>
        </w:rPr>
        <w:t>北京恒奥德科技</w:t>
      </w:r>
      <w:r>
        <w:rPr>
          <w:rFonts w:hint="eastAsia"/>
          <w:b/>
          <w:sz w:val="60"/>
          <w:szCs w:val="60"/>
        </w:rPr>
        <w:t>有限公司</w:t>
      </w:r>
    </w:p>
    <w:p w14:paraId="68B993D5">
      <w:pPr>
        <w:jc w:val="center"/>
        <w:rPr>
          <w:rFonts w:eastAsiaTheme="minorEastAsia"/>
          <w:sz w:val="28"/>
          <w:szCs w:val="28"/>
        </w:rPr>
      </w:pPr>
      <w:bookmarkStart w:id="30" w:name="_GoBack"/>
      <w:bookmarkEnd w:id="30"/>
    </w:p>
    <w:p w14:paraId="3B3E1055">
      <w:pPr>
        <w:ind w:firstLine="723"/>
        <w:rPr>
          <w:b/>
          <w:sz w:val="36"/>
          <w:szCs w:val="36"/>
        </w:rPr>
        <w:sectPr>
          <w:headerReference r:id="rId6" w:type="first"/>
          <w:footerReference r:id="rId8" w:type="first"/>
          <w:headerReference r:id="rId5" w:type="default"/>
          <w:footerReference r:id="rId7" w:type="default"/>
          <w:pgSz w:w="11906" w:h="16838"/>
          <w:pgMar w:top="1440" w:right="1304" w:bottom="1440" w:left="1588" w:header="851" w:footer="992" w:gutter="284"/>
          <w:cols w:space="425" w:num="1"/>
          <w:titlePg/>
          <w:docGrid w:type="lines" w:linePitch="312" w:charSpace="0"/>
        </w:sectPr>
      </w:pPr>
    </w:p>
    <w:p w14:paraId="7CCAD84C">
      <w:pPr>
        <w:ind w:firstLine="560"/>
        <w:jc w:val="center"/>
      </w:pPr>
      <w:r>
        <w:rPr>
          <w:i/>
          <w:sz w:val="28"/>
          <w:szCs w:val="28"/>
        </w:rPr>
        <w:t>安装和使用前，请仔细阅读产品使用说明书</w:t>
      </w:r>
    </w:p>
    <w:p w14:paraId="6A18A6A3">
      <w:pPr>
        <w:pStyle w:val="21"/>
        <w:numPr>
          <w:numId w:val="0"/>
        </w:numPr>
        <w:ind w:leftChars="0"/>
        <w:jc w:val="left"/>
        <w:rPr>
          <w:b/>
          <w:bCs/>
          <w:sz w:val="28"/>
          <w:szCs w:val="32"/>
        </w:rPr>
      </w:pPr>
    </w:p>
    <w:p w14:paraId="37CAC8CB">
      <w:pPr>
        <w:pStyle w:val="21"/>
        <w:numPr>
          <w:ilvl w:val="0"/>
          <w:numId w:val="1"/>
        </w:numPr>
        <w:ind w:firstLineChars="0"/>
        <w:jc w:val="left"/>
        <w:rPr>
          <w:b/>
          <w:bCs/>
          <w:sz w:val="28"/>
          <w:szCs w:val="32"/>
        </w:rPr>
      </w:pPr>
      <w:r>
        <w:rPr>
          <w:rFonts w:hint="eastAsia"/>
          <w:b/>
          <w:bCs/>
          <w:sz w:val="28"/>
          <w:szCs w:val="32"/>
        </w:rPr>
        <w:t>安全说明</w:t>
      </w:r>
    </w:p>
    <w:p w14:paraId="2CB509EE">
      <w:pPr>
        <w:ind w:firstLine="480" w:firstLineChars="200"/>
        <w:rPr>
          <w:sz w:val="24"/>
          <w:szCs w:val="28"/>
        </w:rPr>
      </w:pPr>
      <w:r>
        <w:rPr>
          <w:rFonts w:hint="eastAsia"/>
          <w:sz w:val="24"/>
          <w:szCs w:val="28"/>
        </w:rPr>
        <w:t>请您在使用本产品之前，先详细阅读以下使用原则，并遵守这些规则，可以增加产品的使用寿命，并可以避免发生危险。</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5"/>
        <w:gridCol w:w="7088"/>
      </w:tblGrid>
      <w:tr w14:paraId="5F57F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jc w:val="center"/>
        </w:trPr>
        <w:tc>
          <w:tcPr>
            <w:tcW w:w="1855" w:type="dxa"/>
            <w:vAlign w:val="center"/>
          </w:tcPr>
          <w:p w14:paraId="2B18CC6F">
            <w:pPr>
              <w:jc w:val="center"/>
            </w:pPr>
            <w:r>
              <w:rPr>
                <w:sz w:val="24"/>
                <w:szCs w:val="24"/>
              </w:rPr>
              <w:drawing>
                <wp:inline distT="0" distB="0" distL="0" distR="0">
                  <wp:extent cx="713740" cy="719455"/>
                  <wp:effectExtent l="0" t="0" r="635" b="4445"/>
                  <wp:docPr id="57" name="图片 11" descr="低温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descr="低温副本.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740" cy="719455"/>
                          </a:xfrm>
                          <a:prstGeom prst="rect">
                            <a:avLst/>
                          </a:prstGeom>
                        </pic:spPr>
                      </pic:pic>
                    </a:graphicData>
                  </a:graphic>
                </wp:inline>
              </w:drawing>
            </w:r>
          </w:p>
        </w:tc>
        <w:tc>
          <w:tcPr>
            <w:tcW w:w="7088" w:type="dxa"/>
            <w:vAlign w:val="center"/>
          </w:tcPr>
          <w:p w14:paraId="3BFB57B7">
            <w:pPr>
              <w:rPr>
                <w:sz w:val="24"/>
                <w:szCs w:val="28"/>
              </w:rPr>
            </w:pPr>
            <w:r>
              <w:rPr>
                <w:rFonts w:hint="eastAsia"/>
                <w:sz w:val="24"/>
                <w:szCs w:val="28"/>
              </w:rPr>
              <w:t>仪器只能在温度为-41℃至50℃的环境下使用。</w:t>
            </w:r>
          </w:p>
        </w:tc>
      </w:tr>
      <w:tr w14:paraId="69CF4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jc w:val="center"/>
        </w:trPr>
        <w:tc>
          <w:tcPr>
            <w:tcW w:w="1855" w:type="dxa"/>
            <w:vAlign w:val="center"/>
          </w:tcPr>
          <w:p w14:paraId="7F1698C8">
            <w:pPr>
              <w:jc w:val="center"/>
            </w:pPr>
            <w:r>
              <w:rPr>
                <w:sz w:val="24"/>
                <w:szCs w:val="24"/>
              </w:rPr>
              <w:drawing>
                <wp:inline distT="0" distB="0" distL="0" distR="0">
                  <wp:extent cx="721360" cy="719455"/>
                  <wp:effectExtent l="0" t="0" r="2540" b="4445"/>
                  <wp:docPr id="58" name="图片 8" descr="1331601727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13316017278695.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1360" cy="719455"/>
                          </a:xfrm>
                          <a:prstGeom prst="rect">
                            <a:avLst/>
                          </a:prstGeom>
                        </pic:spPr>
                      </pic:pic>
                    </a:graphicData>
                  </a:graphic>
                </wp:inline>
              </w:drawing>
            </w:r>
          </w:p>
        </w:tc>
        <w:tc>
          <w:tcPr>
            <w:tcW w:w="7088" w:type="dxa"/>
            <w:vAlign w:val="center"/>
          </w:tcPr>
          <w:p w14:paraId="77F8C6B2">
            <w:pPr>
              <w:rPr>
                <w:sz w:val="24"/>
                <w:szCs w:val="28"/>
              </w:rPr>
            </w:pPr>
            <w:r>
              <w:rPr>
                <w:rFonts w:hint="eastAsia"/>
                <w:sz w:val="24"/>
                <w:szCs w:val="28"/>
              </w:rPr>
              <w:t>请勿在雨中或者潮湿的环境下使用或者暴露仪器。</w:t>
            </w:r>
          </w:p>
        </w:tc>
      </w:tr>
      <w:tr w14:paraId="77D4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jc w:val="center"/>
        </w:trPr>
        <w:tc>
          <w:tcPr>
            <w:tcW w:w="1855" w:type="dxa"/>
            <w:vAlign w:val="center"/>
          </w:tcPr>
          <w:p w14:paraId="72FFB491">
            <w:pPr>
              <w:jc w:val="center"/>
            </w:pPr>
            <w:r>
              <w:rPr>
                <w:sz w:val="24"/>
                <w:szCs w:val="24"/>
              </w:rPr>
              <w:drawing>
                <wp:inline distT="0" distB="0" distL="0" distR="0">
                  <wp:extent cx="711835" cy="721995"/>
                  <wp:effectExtent l="0" t="0" r="2540" b="1905"/>
                  <wp:docPr id="59" name="图片 20" descr="当心腐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descr="当心腐蚀.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9872" cy="719455"/>
                          </a:xfrm>
                          <a:prstGeom prst="rect">
                            <a:avLst/>
                          </a:prstGeom>
                        </pic:spPr>
                      </pic:pic>
                    </a:graphicData>
                  </a:graphic>
                </wp:inline>
              </w:drawing>
            </w:r>
          </w:p>
        </w:tc>
        <w:tc>
          <w:tcPr>
            <w:tcW w:w="7088" w:type="dxa"/>
            <w:vAlign w:val="center"/>
          </w:tcPr>
          <w:p w14:paraId="24090DCE">
            <w:pPr>
              <w:rPr>
                <w:sz w:val="24"/>
                <w:szCs w:val="28"/>
              </w:rPr>
            </w:pPr>
            <w:r>
              <w:rPr>
                <w:rFonts w:hint="eastAsia"/>
                <w:sz w:val="24"/>
                <w:szCs w:val="28"/>
              </w:rPr>
              <w:t>防止腐蚀性物质和液体进入仪器，腐蚀性物质会使电子电路受损。</w:t>
            </w:r>
          </w:p>
        </w:tc>
      </w:tr>
      <w:tr w14:paraId="2E3CD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jc w:val="center"/>
        </w:trPr>
        <w:tc>
          <w:tcPr>
            <w:tcW w:w="1855" w:type="dxa"/>
            <w:vAlign w:val="center"/>
          </w:tcPr>
          <w:p w14:paraId="293BD19E">
            <w:pPr>
              <w:jc w:val="center"/>
            </w:pPr>
            <w:r>
              <w:rPr>
                <w:sz w:val="24"/>
                <w:szCs w:val="24"/>
              </w:rPr>
              <w:drawing>
                <wp:inline distT="0" distB="0" distL="0" distR="0">
                  <wp:extent cx="709930" cy="719455"/>
                  <wp:effectExtent l="0" t="0" r="4445" b="4445"/>
                  <wp:docPr id="60" name="图片 9" descr="轻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轻放副本.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9930" cy="719455"/>
                          </a:xfrm>
                          <a:prstGeom prst="rect">
                            <a:avLst/>
                          </a:prstGeom>
                        </pic:spPr>
                      </pic:pic>
                    </a:graphicData>
                  </a:graphic>
                </wp:inline>
              </w:drawing>
            </w:r>
          </w:p>
        </w:tc>
        <w:tc>
          <w:tcPr>
            <w:tcW w:w="7088" w:type="dxa"/>
            <w:vAlign w:val="center"/>
          </w:tcPr>
          <w:p w14:paraId="0249217A">
            <w:pPr>
              <w:rPr>
                <w:sz w:val="24"/>
                <w:szCs w:val="28"/>
              </w:rPr>
            </w:pPr>
            <w:r>
              <w:rPr>
                <w:rFonts w:hint="eastAsia"/>
                <w:sz w:val="24"/>
                <w:szCs w:val="28"/>
              </w:rPr>
              <w:t>仪器内部含有玻璃制品，使用或存放应避免振动或跌落。</w:t>
            </w:r>
          </w:p>
        </w:tc>
      </w:tr>
      <w:tr w14:paraId="12D7D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jc w:val="center"/>
        </w:trPr>
        <w:tc>
          <w:tcPr>
            <w:tcW w:w="1855" w:type="dxa"/>
            <w:vAlign w:val="center"/>
          </w:tcPr>
          <w:p w14:paraId="22BA3B9F">
            <w:pPr>
              <w:jc w:val="center"/>
              <w:rPr>
                <w:sz w:val="24"/>
                <w:szCs w:val="24"/>
              </w:rPr>
            </w:pPr>
            <w:r>
              <w:rPr>
                <w:sz w:val="24"/>
                <w:szCs w:val="24"/>
              </w:rPr>
              <w:drawing>
                <wp:inline distT="0" distB="0" distL="0" distR="0">
                  <wp:extent cx="713740" cy="719455"/>
                  <wp:effectExtent l="0" t="0" r="635" b="4445"/>
                  <wp:docPr id="61" name="图片 10" descr="修理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descr="修理副本.jpg"/>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3740" cy="719455"/>
                          </a:xfrm>
                          <a:prstGeom prst="rect">
                            <a:avLst/>
                          </a:prstGeom>
                        </pic:spPr>
                      </pic:pic>
                    </a:graphicData>
                  </a:graphic>
                </wp:inline>
              </w:drawing>
            </w:r>
          </w:p>
        </w:tc>
        <w:tc>
          <w:tcPr>
            <w:tcW w:w="7088" w:type="dxa"/>
            <w:vAlign w:val="center"/>
          </w:tcPr>
          <w:p w14:paraId="34333D12">
            <w:pPr>
              <w:rPr>
                <w:sz w:val="24"/>
                <w:szCs w:val="28"/>
              </w:rPr>
            </w:pPr>
            <w:r>
              <w:rPr>
                <w:rFonts w:hint="eastAsia"/>
                <w:sz w:val="24"/>
                <w:szCs w:val="28"/>
              </w:rPr>
              <w:t>请勿自行修理本产品，只有合格的专业人士才可以安装或维修。</w:t>
            </w:r>
          </w:p>
        </w:tc>
      </w:tr>
      <w:tr w14:paraId="435C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jc w:val="center"/>
        </w:trPr>
        <w:tc>
          <w:tcPr>
            <w:tcW w:w="1855" w:type="dxa"/>
            <w:vAlign w:val="center"/>
          </w:tcPr>
          <w:p w14:paraId="68686640">
            <w:pPr>
              <w:jc w:val="center"/>
              <w:rPr>
                <w:sz w:val="24"/>
                <w:szCs w:val="24"/>
              </w:rPr>
            </w:pPr>
            <w:r>
              <w:rPr>
                <w:sz w:val="24"/>
                <w:szCs w:val="24"/>
              </w:rPr>
              <w:drawing>
                <wp:inline distT="0" distB="0" distL="0" distR="0">
                  <wp:extent cx="951230" cy="716280"/>
                  <wp:effectExtent l="0" t="0" r="1270" b="7620"/>
                  <wp:docPr id="56" name="图片 12" descr="74115103ed1a8da07acbe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descr="74115103ed1a8da07acbe1f1.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1332" cy="716889"/>
                          </a:xfrm>
                          <a:prstGeom prst="rect">
                            <a:avLst/>
                          </a:prstGeom>
                        </pic:spPr>
                      </pic:pic>
                    </a:graphicData>
                  </a:graphic>
                </wp:inline>
              </w:drawing>
            </w:r>
          </w:p>
        </w:tc>
        <w:tc>
          <w:tcPr>
            <w:tcW w:w="7088" w:type="dxa"/>
            <w:vAlign w:val="center"/>
          </w:tcPr>
          <w:p w14:paraId="067EB3AA">
            <w:pPr>
              <w:rPr>
                <w:sz w:val="24"/>
                <w:szCs w:val="28"/>
              </w:rPr>
            </w:pPr>
            <w:r>
              <w:rPr>
                <w:rFonts w:hint="eastAsia"/>
                <w:sz w:val="24"/>
                <w:szCs w:val="28"/>
              </w:rPr>
              <w:t>请勿将本产品当作一般的垃圾丢弃。本产品内部零件设计为可回收利用。</w:t>
            </w:r>
          </w:p>
        </w:tc>
      </w:tr>
      <w:tr w14:paraId="3ED8D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jc w:val="center"/>
        </w:trPr>
        <w:tc>
          <w:tcPr>
            <w:tcW w:w="1855" w:type="dxa"/>
            <w:vAlign w:val="center"/>
          </w:tcPr>
          <w:p w14:paraId="19818432">
            <w:pPr>
              <w:jc w:val="center"/>
            </w:pPr>
            <w:r>
              <w:rPr>
                <w:sz w:val="24"/>
                <w:szCs w:val="24"/>
              </w:rPr>
              <w:drawing>
                <wp:inline distT="0" distB="0" distL="0" distR="0">
                  <wp:extent cx="713740" cy="719455"/>
                  <wp:effectExtent l="0" t="0" r="635" b="4445"/>
                  <wp:docPr id="62" name="图片 26" descr="电源适配器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电源适配器标志.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3740" cy="719455"/>
                          </a:xfrm>
                          <a:prstGeom prst="rect">
                            <a:avLst/>
                          </a:prstGeom>
                        </pic:spPr>
                      </pic:pic>
                    </a:graphicData>
                  </a:graphic>
                </wp:inline>
              </w:drawing>
            </w:r>
          </w:p>
        </w:tc>
        <w:tc>
          <w:tcPr>
            <w:tcW w:w="7088" w:type="dxa"/>
            <w:vAlign w:val="center"/>
          </w:tcPr>
          <w:p w14:paraId="0B2EA2C6">
            <w:pPr>
              <w:rPr>
                <w:sz w:val="24"/>
                <w:szCs w:val="28"/>
              </w:rPr>
            </w:pPr>
            <w:r>
              <w:rPr>
                <w:rFonts w:hint="eastAsia"/>
                <w:sz w:val="24"/>
                <w:szCs w:val="28"/>
              </w:rPr>
              <w:t>请依照附件中配备的电源适配器上的电源功率贴纸说明使用正确的电源适配器，如果使用错误功率的电源适配器有可能影响仪器测量结果的准确性，甚至造成内部零件的损坏。</w:t>
            </w:r>
          </w:p>
        </w:tc>
      </w:tr>
    </w:tbl>
    <w:p w14:paraId="7E7E98D9"/>
    <w:p w14:paraId="6C4C82B6"/>
    <w:p w14:paraId="76BF155A"/>
    <w:p w14:paraId="44754DF4">
      <w:pPr>
        <w:pStyle w:val="21"/>
        <w:numPr>
          <w:ilvl w:val="0"/>
          <w:numId w:val="1"/>
        </w:numPr>
        <w:ind w:firstLineChars="0"/>
        <w:jc w:val="left"/>
        <w:rPr>
          <w:b/>
          <w:bCs/>
          <w:sz w:val="28"/>
          <w:szCs w:val="32"/>
        </w:rPr>
      </w:pPr>
      <w:r>
        <w:rPr>
          <w:rFonts w:hint="eastAsia"/>
          <w:b/>
          <w:bCs/>
          <w:sz w:val="28"/>
          <w:szCs w:val="32"/>
        </w:rPr>
        <w:t>使用注意事项</w:t>
      </w:r>
    </w:p>
    <w:p w14:paraId="356ADDBB">
      <w:pPr>
        <w:pStyle w:val="21"/>
        <w:numPr>
          <w:ilvl w:val="0"/>
          <w:numId w:val="2"/>
        </w:numPr>
        <w:ind w:firstLineChars="0"/>
        <w:rPr>
          <w:sz w:val="24"/>
          <w:szCs w:val="28"/>
        </w:rPr>
      </w:pPr>
      <w:r>
        <w:rPr>
          <w:rFonts w:hint="eastAsia"/>
          <w:sz w:val="24"/>
          <w:szCs w:val="28"/>
        </w:rPr>
        <w:t>请使用配备的电源充电器进行充电；</w:t>
      </w:r>
    </w:p>
    <w:p w14:paraId="1A541C23">
      <w:pPr>
        <w:pStyle w:val="21"/>
        <w:numPr>
          <w:ilvl w:val="0"/>
          <w:numId w:val="2"/>
        </w:numPr>
        <w:ind w:firstLineChars="0"/>
        <w:rPr>
          <w:sz w:val="24"/>
          <w:szCs w:val="28"/>
        </w:rPr>
      </w:pPr>
      <w:r>
        <w:rPr>
          <w:rFonts w:hint="eastAsia"/>
          <w:sz w:val="24"/>
          <w:szCs w:val="28"/>
        </w:rPr>
        <w:t>高温或寒冷的环境对仪器的测量准确度产生影响；</w:t>
      </w:r>
    </w:p>
    <w:p w14:paraId="5D69C372">
      <w:pPr>
        <w:pStyle w:val="21"/>
        <w:numPr>
          <w:ilvl w:val="0"/>
          <w:numId w:val="2"/>
        </w:numPr>
        <w:ind w:firstLineChars="0"/>
        <w:rPr>
          <w:sz w:val="24"/>
          <w:szCs w:val="28"/>
        </w:rPr>
      </w:pPr>
      <w:r>
        <w:rPr>
          <w:rFonts w:hint="eastAsia"/>
          <w:sz w:val="24"/>
          <w:szCs w:val="28"/>
        </w:rPr>
        <w:t>尽可能防止意外的磕碰、撞击；</w:t>
      </w:r>
    </w:p>
    <w:p w14:paraId="53B93B25">
      <w:pPr>
        <w:pStyle w:val="21"/>
        <w:numPr>
          <w:ilvl w:val="0"/>
          <w:numId w:val="2"/>
        </w:numPr>
        <w:ind w:firstLineChars="0"/>
        <w:rPr>
          <w:sz w:val="24"/>
          <w:szCs w:val="28"/>
        </w:rPr>
      </w:pPr>
      <w:r>
        <w:rPr>
          <w:rFonts w:hint="eastAsia"/>
          <w:sz w:val="24"/>
          <w:szCs w:val="28"/>
        </w:rPr>
        <w:t>请勿将具有放射性性质的物质污染探头，以免影响测量结果；</w:t>
      </w:r>
    </w:p>
    <w:p w14:paraId="22A30384">
      <w:pPr>
        <w:pStyle w:val="21"/>
        <w:numPr>
          <w:ilvl w:val="0"/>
          <w:numId w:val="2"/>
        </w:numPr>
        <w:ind w:firstLineChars="0"/>
        <w:rPr>
          <w:sz w:val="24"/>
          <w:szCs w:val="28"/>
        </w:rPr>
      </w:pPr>
      <w:r>
        <w:rPr>
          <w:rFonts w:hint="eastAsia"/>
          <w:sz w:val="24"/>
          <w:szCs w:val="28"/>
        </w:rPr>
        <w:t>保持仪器在干燥的环境下使用，雨水、湿气、含有矿物质的液体等会腐蚀外壳和电子线路；</w:t>
      </w:r>
    </w:p>
    <w:p w14:paraId="421DFA64">
      <w:pPr>
        <w:pStyle w:val="21"/>
        <w:numPr>
          <w:ilvl w:val="0"/>
          <w:numId w:val="2"/>
        </w:numPr>
        <w:ind w:firstLineChars="0"/>
        <w:rPr>
          <w:sz w:val="24"/>
          <w:szCs w:val="28"/>
        </w:rPr>
      </w:pPr>
      <w:r>
        <w:rPr>
          <w:rFonts w:hint="eastAsia"/>
          <w:sz w:val="24"/>
          <w:szCs w:val="28"/>
        </w:rPr>
        <w:t>仪器对强磁场和电场都较为敏感，强磁场和电场会使仪器功能不能正常发挥；</w:t>
      </w:r>
    </w:p>
    <w:p w14:paraId="76016E72">
      <w:pPr>
        <w:pStyle w:val="21"/>
        <w:numPr>
          <w:ilvl w:val="0"/>
          <w:numId w:val="2"/>
        </w:numPr>
        <w:ind w:firstLineChars="0"/>
        <w:rPr>
          <w:sz w:val="24"/>
          <w:szCs w:val="28"/>
        </w:rPr>
      </w:pPr>
      <w:r>
        <w:rPr>
          <w:rFonts w:hint="eastAsia"/>
          <w:sz w:val="24"/>
          <w:szCs w:val="28"/>
        </w:rPr>
        <w:t>在灰尘较多的环境里，尽量不要长时间使用仪器，即使必须使用，在使用后请用干毛巾擦拭仪器；</w:t>
      </w:r>
    </w:p>
    <w:p w14:paraId="62EB9748">
      <w:pPr>
        <w:pStyle w:val="21"/>
        <w:numPr>
          <w:ilvl w:val="0"/>
          <w:numId w:val="2"/>
        </w:numPr>
        <w:ind w:firstLineChars="0"/>
        <w:rPr>
          <w:sz w:val="24"/>
          <w:szCs w:val="28"/>
        </w:rPr>
      </w:pPr>
      <w:r>
        <w:rPr>
          <w:rFonts w:hint="eastAsia"/>
          <w:sz w:val="24"/>
          <w:szCs w:val="28"/>
        </w:rPr>
        <w:t>如果仪器不慎掉入水中或者沾到大量雨水，请及时关闭主机电源和拔去连接探头的传输线，把仪器放置到通风、干燥的地方，等仪器完全干燥后可以重新使用。如果干燥后仍无法正常使用，请联系专业人员给予指导和处理；</w:t>
      </w:r>
    </w:p>
    <w:p w14:paraId="2BA6529D">
      <w:pPr>
        <w:pStyle w:val="21"/>
        <w:numPr>
          <w:ilvl w:val="0"/>
          <w:numId w:val="2"/>
        </w:numPr>
        <w:ind w:firstLineChars="0"/>
        <w:rPr>
          <w:sz w:val="24"/>
          <w:szCs w:val="28"/>
        </w:rPr>
      </w:pPr>
      <w:r>
        <w:rPr>
          <w:rFonts w:hint="eastAsia"/>
          <w:sz w:val="24"/>
          <w:szCs w:val="28"/>
        </w:rPr>
        <w:t>不要随意使用其他类型的电源适配器。不同生产厂商所生产的产品在适配电压、电流，以及规格等方面都有差异，使用不匹配的电源适配器，轻则容易损坏仪器的电源接口，严重时可能因电压、电流不匹配而烧坏仪器；</w:t>
      </w:r>
    </w:p>
    <w:p w14:paraId="73301933">
      <w:pPr>
        <w:pStyle w:val="21"/>
        <w:numPr>
          <w:ilvl w:val="0"/>
          <w:numId w:val="2"/>
        </w:numPr>
        <w:ind w:firstLineChars="0"/>
        <w:rPr>
          <w:sz w:val="24"/>
          <w:szCs w:val="28"/>
        </w:rPr>
      </w:pPr>
      <w:r>
        <w:rPr>
          <w:rFonts w:hint="eastAsia"/>
          <w:sz w:val="24"/>
          <w:szCs w:val="28"/>
        </w:rPr>
        <w:t>情况允许下，关闭操作背光灯可充分节约电能，并延长电池的使用寿命；</w:t>
      </w:r>
    </w:p>
    <w:p w14:paraId="3A81525F">
      <w:pPr>
        <w:pStyle w:val="21"/>
        <w:numPr>
          <w:ilvl w:val="0"/>
          <w:numId w:val="2"/>
        </w:numPr>
        <w:ind w:firstLineChars="0"/>
        <w:rPr>
          <w:sz w:val="24"/>
          <w:szCs w:val="28"/>
        </w:rPr>
      </w:pPr>
      <w:r>
        <w:rPr>
          <w:rFonts w:hint="eastAsia"/>
          <w:sz w:val="24"/>
          <w:szCs w:val="28"/>
        </w:rPr>
        <w:t>请保留配备的外包装箱，以备将来运送仪器时用于保护产品不被损坏；</w:t>
      </w:r>
    </w:p>
    <w:p w14:paraId="40BB0B78">
      <w:pPr>
        <w:pStyle w:val="21"/>
        <w:numPr>
          <w:ilvl w:val="0"/>
          <w:numId w:val="2"/>
        </w:numPr>
        <w:ind w:firstLineChars="0"/>
        <w:rPr>
          <w:sz w:val="24"/>
          <w:szCs w:val="28"/>
        </w:rPr>
      </w:pPr>
      <w:r>
        <w:rPr>
          <w:rFonts w:hint="eastAsia"/>
          <w:sz w:val="24"/>
          <w:szCs w:val="28"/>
        </w:rPr>
        <w:t>请正确插拔连接探头的连接端子，不要用力拉扯传输线中间部分，拉扯传输线中部可能会造成传输线断裂；</w:t>
      </w:r>
    </w:p>
    <w:p w14:paraId="69EE5AAE">
      <w:pPr>
        <w:pStyle w:val="21"/>
        <w:numPr>
          <w:ilvl w:val="0"/>
          <w:numId w:val="2"/>
        </w:numPr>
        <w:ind w:firstLineChars="0"/>
        <w:rPr>
          <w:sz w:val="24"/>
          <w:szCs w:val="28"/>
        </w:rPr>
      </w:pPr>
      <w:r>
        <w:rPr>
          <w:rFonts w:hint="eastAsia"/>
          <w:sz w:val="24"/>
          <w:szCs w:val="28"/>
        </w:rPr>
        <w:t>本产品的整机保修期从实际购买日期起计算，保修期限详见合格证保修卡，请妥善保存合格证、保修卡等购买信息；</w:t>
      </w:r>
    </w:p>
    <w:p w14:paraId="0B0B6E54">
      <w:pPr>
        <w:pStyle w:val="21"/>
        <w:numPr>
          <w:ilvl w:val="0"/>
          <w:numId w:val="2"/>
        </w:numPr>
        <w:ind w:firstLineChars="0"/>
        <w:rPr>
          <w:sz w:val="24"/>
          <w:szCs w:val="28"/>
        </w:rPr>
      </w:pPr>
      <w:r>
        <w:rPr>
          <w:rFonts w:hint="eastAsia"/>
          <w:sz w:val="24"/>
          <w:szCs w:val="28"/>
        </w:rPr>
        <w:t>请了解产品配备的探头的种类后选择合适的探头；</w:t>
      </w:r>
    </w:p>
    <w:p w14:paraId="50791107">
      <w:pPr>
        <w:pStyle w:val="21"/>
        <w:numPr>
          <w:ilvl w:val="0"/>
          <w:numId w:val="2"/>
        </w:numPr>
        <w:ind w:firstLineChars="0"/>
        <w:rPr>
          <w:sz w:val="24"/>
          <w:szCs w:val="28"/>
        </w:rPr>
      </w:pPr>
      <w:r>
        <w:rPr>
          <w:rFonts w:hint="eastAsia"/>
          <w:sz w:val="24"/>
          <w:szCs w:val="28"/>
        </w:rPr>
        <w:t>本公司拥有在不通知客户的前提下修改本说明书内容的权利。</w:t>
      </w:r>
    </w:p>
    <w:p w14:paraId="4DE658CF">
      <w:pPr>
        <w:tabs>
          <w:tab w:val="left" w:pos="1178"/>
        </w:tabs>
        <w:rPr>
          <w:sz w:val="36"/>
          <w:szCs w:val="36"/>
        </w:rPr>
        <w:sectPr>
          <w:footerReference r:id="rId9" w:type="default"/>
          <w:pgSz w:w="11906" w:h="16838"/>
          <w:pgMar w:top="1440" w:right="1304" w:bottom="1440" w:left="1588" w:header="851" w:footer="992" w:gutter="284"/>
          <w:cols w:space="425" w:num="1"/>
          <w:titlePg/>
          <w:docGrid w:type="lines" w:linePitch="312" w:charSpace="0"/>
        </w:sectPr>
      </w:pPr>
      <w:r>
        <w:rPr>
          <w:sz w:val="36"/>
          <w:szCs w:val="36"/>
        </w:rPr>
        <w:tab/>
      </w:r>
    </w:p>
    <w:p w14:paraId="1B7E2EB2">
      <w:pPr>
        <w:pStyle w:val="24"/>
        <w:tabs>
          <w:tab w:val="left" w:pos="1800"/>
          <w:tab w:val="center" w:pos="4677"/>
        </w:tabs>
        <w:spacing w:before="0"/>
        <w:rPr>
          <w:rFonts w:hAnsi="Times New Roman"/>
          <w:lang w:val="zh-CN"/>
        </w:rPr>
      </w:pPr>
      <w:r>
        <w:tab/>
      </w:r>
      <w:r>
        <w:tab/>
      </w:r>
      <w:r>
        <w:rPr>
          <w:lang w:val="zh-CN"/>
        </w:rPr>
        <w:t>目</w:t>
      </w:r>
      <w:r>
        <w:rPr>
          <w:rFonts w:hint="eastAsia"/>
          <w:lang w:val="zh-CN"/>
        </w:rPr>
        <w:t xml:space="preserve">  </w:t>
      </w:r>
      <w:r>
        <w:rPr>
          <w:lang w:val="zh-CN"/>
        </w:rPr>
        <w:t>录</w:t>
      </w:r>
    </w:p>
    <w:p w14:paraId="04DD0BA9">
      <w:pPr>
        <w:pStyle w:val="11"/>
        <w:rPr>
          <w:rFonts w:asciiTheme="minorHAnsi" w:hAnsiTheme="minorHAnsi" w:eastAsiaTheme="minorEastAsia" w:cstheme="minorBidi"/>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"_Toc165732906" </w:instrText>
      </w:r>
      <w:r>
        <w:fldChar w:fldCharType="separate"/>
      </w:r>
      <w:r>
        <w:rPr>
          <w:rStyle w:val="18"/>
        </w:rPr>
        <w:t>1、概述</w:t>
      </w:r>
      <w:r>
        <w:tab/>
      </w:r>
      <w:r>
        <w:fldChar w:fldCharType="begin"/>
      </w:r>
      <w:r>
        <w:instrText xml:space="preserve"> PAGEREF _Toc165732906 \h </w:instrText>
      </w:r>
      <w:r>
        <w:fldChar w:fldCharType="separate"/>
      </w:r>
      <w:r>
        <w:t>1</w:t>
      </w:r>
      <w:r>
        <w:fldChar w:fldCharType="end"/>
      </w:r>
      <w:r>
        <w:fldChar w:fldCharType="end"/>
      </w:r>
    </w:p>
    <w:p w14:paraId="3864A593">
      <w:pPr>
        <w:pStyle w:val="11"/>
        <w:rPr>
          <w:rFonts w:asciiTheme="minorHAnsi" w:hAnsiTheme="minorHAnsi" w:eastAsiaTheme="minorEastAsia" w:cstheme="minorBidi"/>
          <w14:ligatures w14:val="standardContextual"/>
        </w:rPr>
      </w:pPr>
      <w:r>
        <w:fldChar w:fldCharType="begin"/>
      </w:r>
      <w:r>
        <w:instrText xml:space="preserve"> HYPERLINK \l "_Toc165732907" </w:instrText>
      </w:r>
      <w:r>
        <w:fldChar w:fldCharType="separate"/>
      </w:r>
      <w:r>
        <w:rPr>
          <w:rStyle w:val="18"/>
        </w:rPr>
        <w:t>2、工作原理</w:t>
      </w:r>
      <w:r>
        <w:tab/>
      </w:r>
      <w:r>
        <w:fldChar w:fldCharType="begin"/>
      </w:r>
      <w:r>
        <w:instrText xml:space="preserve"> PAGEREF _Toc165732907 \h </w:instrText>
      </w:r>
      <w:r>
        <w:fldChar w:fldCharType="separate"/>
      </w:r>
      <w:r>
        <w:t>1</w:t>
      </w:r>
      <w:r>
        <w:fldChar w:fldCharType="end"/>
      </w:r>
      <w:r>
        <w:fldChar w:fldCharType="end"/>
      </w:r>
    </w:p>
    <w:p w14:paraId="57E851F6">
      <w:pPr>
        <w:pStyle w:val="11"/>
        <w:rPr>
          <w:rFonts w:asciiTheme="minorHAnsi" w:hAnsiTheme="minorHAnsi" w:eastAsiaTheme="minorEastAsia" w:cstheme="minorBidi"/>
          <w14:ligatures w14:val="standardContextual"/>
        </w:rPr>
      </w:pPr>
      <w:r>
        <w:fldChar w:fldCharType="begin"/>
      </w:r>
      <w:r>
        <w:instrText xml:space="preserve"> HYPERLINK \l "_Toc165732908" </w:instrText>
      </w:r>
      <w:r>
        <w:fldChar w:fldCharType="separate"/>
      </w:r>
      <w:r>
        <w:rPr>
          <w:rStyle w:val="18"/>
        </w:rPr>
        <w:t>3、技术特性</w:t>
      </w:r>
      <w:r>
        <w:tab/>
      </w:r>
      <w:r>
        <w:fldChar w:fldCharType="begin"/>
      </w:r>
      <w:r>
        <w:instrText xml:space="preserve"> PAGEREF _Toc165732908 \h </w:instrText>
      </w:r>
      <w:r>
        <w:fldChar w:fldCharType="separate"/>
      </w:r>
      <w:r>
        <w:t>1</w:t>
      </w:r>
      <w:r>
        <w:fldChar w:fldCharType="end"/>
      </w:r>
      <w:r>
        <w:fldChar w:fldCharType="end"/>
      </w:r>
    </w:p>
    <w:p w14:paraId="6208DFCE">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"_Toc165732909" </w:instrText>
      </w:r>
      <w:r>
        <w:fldChar w:fldCharType="separate"/>
      </w:r>
      <w:r>
        <w:rPr>
          <w:rStyle w:val="18"/>
        </w:rPr>
        <w:t>3.1  辐射特性</w:t>
      </w:r>
      <w:r>
        <w:tab/>
      </w:r>
      <w:r>
        <w:fldChar w:fldCharType="begin"/>
      </w:r>
      <w:r>
        <w:instrText xml:space="preserve"> PAGEREF _Toc165732909 \h </w:instrText>
      </w:r>
      <w:r>
        <w:fldChar w:fldCharType="separate"/>
      </w:r>
      <w:r>
        <w:t>1</w:t>
      </w:r>
      <w:r>
        <w:fldChar w:fldCharType="end"/>
      </w:r>
      <w:r>
        <w:fldChar w:fldCharType="end"/>
      </w:r>
    </w:p>
    <w:p w14:paraId="683FE445">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"_Toc165732910" </w:instrText>
      </w:r>
      <w:r>
        <w:fldChar w:fldCharType="separate"/>
      </w:r>
      <w:r>
        <w:rPr>
          <w:rStyle w:val="18"/>
        </w:rPr>
        <w:t>3.2  环境特性</w:t>
      </w:r>
      <w:r>
        <w:tab/>
      </w:r>
      <w:r>
        <w:fldChar w:fldCharType="begin"/>
      </w:r>
      <w:r>
        <w:instrText xml:space="preserve"> PAGEREF _Toc165732910 \h </w:instrText>
      </w:r>
      <w:r>
        <w:fldChar w:fldCharType="separate"/>
      </w:r>
      <w:r>
        <w:t>2</w:t>
      </w:r>
      <w:r>
        <w:fldChar w:fldCharType="end"/>
      </w:r>
      <w:r>
        <w:fldChar w:fldCharType="end"/>
      </w:r>
    </w:p>
    <w:p w14:paraId="5D8F781A">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"_Toc165732911" </w:instrText>
      </w:r>
      <w:r>
        <w:fldChar w:fldCharType="separate"/>
      </w:r>
      <w:r>
        <w:rPr>
          <w:rStyle w:val="18"/>
        </w:rPr>
        <w:t>3.3  电气特性</w:t>
      </w:r>
      <w:r>
        <w:tab/>
      </w:r>
      <w:r>
        <w:fldChar w:fldCharType="begin"/>
      </w:r>
      <w:r>
        <w:instrText xml:space="preserve"> PAGEREF _Toc165732911 \h </w:instrText>
      </w:r>
      <w:r>
        <w:fldChar w:fldCharType="separate"/>
      </w:r>
      <w:r>
        <w:t>2</w:t>
      </w:r>
      <w:r>
        <w:fldChar w:fldCharType="end"/>
      </w:r>
      <w:r>
        <w:fldChar w:fldCharType="end"/>
      </w:r>
    </w:p>
    <w:p w14:paraId="6E5EE3F3">
      <w:pPr>
        <w:pStyle w:val="11"/>
        <w:rPr>
          <w:rFonts w:asciiTheme="minorHAnsi" w:hAnsiTheme="minorHAnsi" w:eastAsiaTheme="minorEastAsia" w:cstheme="minorBidi"/>
          <w14:ligatures w14:val="standardContextual"/>
        </w:rPr>
      </w:pPr>
      <w:r>
        <w:fldChar w:fldCharType="begin"/>
      </w:r>
      <w:r>
        <w:instrText xml:space="preserve"> HYPERLINK \l "_Toc165732912" </w:instrText>
      </w:r>
      <w:r>
        <w:fldChar w:fldCharType="separate"/>
      </w:r>
      <w:r>
        <w:rPr>
          <w:rStyle w:val="18"/>
        </w:rPr>
        <w:t>4、尺寸、重量</w:t>
      </w:r>
      <w:r>
        <w:tab/>
      </w:r>
      <w:r>
        <w:fldChar w:fldCharType="begin"/>
      </w:r>
      <w:r>
        <w:instrText xml:space="preserve"> PAGEREF _Toc165732912 \h </w:instrText>
      </w:r>
      <w:r>
        <w:fldChar w:fldCharType="separate"/>
      </w:r>
      <w:r>
        <w:t>2</w:t>
      </w:r>
      <w:r>
        <w:fldChar w:fldCharType="end"/>
      </w:r>
      <w:r>
        <w:fldChar w:fldCharType="end"/>
      </w:r>
    </w:p>
    <w:p w14:paraId="74E8C641">
      <w:pPr>
        <w:pStyle w:val="11"/>
        <w:rPr>
          <w:rFonts w:asciiTheme="minorHAnsi" w:hAnsiTheme="minorHAnsi" w:eastAsiaTheme="minorEastAsia" w:cstheme="minorBidi"/>
          <w14:ligatures w14:val="standardContextual"/>
        </w:rPr>
      </w:pPr>
      <w:r>
        <w:fldChar w:fldCharType="begin"/>
      </w:r>
      <w:r>
        <w:instrText xml:space="preserve"> HYPERLINK \l "_Toc165732913" </w:instrText>
      </w:r>
      <w:r>
        <w:fldChar w:fldCharType="separate"/>
      </w:r>
      <w:r>
        <w:rPr>
          <w:rStyle w:val="18"/>
        </w:rPr>
        <w:t>5、安装、调整</w:t>
      </w:r>
      <w:r>
        <w:tab/>
      </w:r>
      <w:r>
        <w:fldChar w:fldCharType="begin"/>
      </w:r>
      <w:r>
        <w:instrText xml:space="preserve"> PAGEREF _Toc165732913 \h </w:instrText>
      </w:r>
      <w:r>
        <w:fldChar w:fldCharType="separate"/>
      </w:r>
      <w:r>
        <w:t>2</w:t>
      </w:r>
      <w:r>
        <w:fldChar w:fldCharType="end"/>
      </w:r>
      <w:r>
        <w:fldChar w:fldCharType="end"/>
      </w:r>
    </w:p>
    <w:p w14:paraId="3E08ECB7">
      <w:pPr>
        <w:pStyle w:val="11"/>
        <w:rPr>
          <w:rFonts w:asciiTheme="minorHAnsi" w:hAnsiTheme="minorHAnsi" w:eastAsiaTheme="minorEastAsia" w:cstheme="minorBidi"/>
          <w14:ligatures w14:val="standardContextual"/>
        </w:rPr>
      </w:pPr>
      <w:r>
        <w:fldChar w:fldCharType="begin"/>
      </w:r>
      <w:r>
        <w:instrText xml:space="preserve"> HYPERLINK \l "_Toc165732914" </w:instrText>
      </w:r>
      <w:r>
        <w:fldChar w:fldCharType="separate"/>
      </w:r>
      <w:r>
        <w:rPr>
          <w:rStyle w:val="18"/>
        </w:rPr>
        <w:t>6、使用操作</w:t>
      </w:r>
      <w:r>
        <w:tab/>
      </w:r>
      <w:r>
        <w:fldChar w:fldCharType="begin"/>
      </w:r>
      <w:r>
        <w:instrText xml:space="preserve"> PAGEREF _Toc165732914 \h </w:instrText>
      </w:r>
      <w:r>
        <w:fldChar w:fldCharType="separate"/>
      </w:r>
      <w:r>
        <w:t>2</w:t>
      </w:r>
      <w:r>
        <w:fldChar w:fldCharType="end"/>
      </w:r>
      <w:r>
        <w:fldChar w:fldCharType="end"/>
      </w:r>
    </w:p>
    <w:p w14:paraId="1DFD9960">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"_Toc165732915" </w:instrText>
      </w:r>
      <w:r>
        <w:fldChar w:fldCharType="separate"/>
      </w:r>
      <w:r>
        <w:rPr>
          <w:rStyle w:val="18"/>
        </w:rPr>
        <w:t>6.1  按键定义</w:t>
      </w:r>
      <w:r>
        <w:tab/>
      </w:r>
      <w:r>
        <w:fldChar w:fldCharType="begin"/>
      </w:r>
      <w:r>
        <w:instrText xml:space="preserve"> PAGEREF _Toc165732915 \h </w:instrText>
      </w:r>
      <w:r>
        <w:fldChar w:fldCharType="separate"/>
      </w:r>
      <w:r>
        <w:t>2</w:t>
      </w:r>
      <w:r>
        <w:fldChar w:fldCharType="end"/>
      </w:r>
      <w:r>
        <w:fldChar w:fldCharType="end"/>
      </w:r>
    </w:p>
    <w:p w14:paraId="53B913A0">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"_Toc165732916" </w:instrText>
      </w:r>
      <w:r>
        <w:fldChar w:fldCharType="separate"/>
      </w:r>
      <w:r>
        <w:rPr>
          <w:rStyle w:val="18"/>
        </w:rPr>
        <w:t>6.2  开机检查和准备</w:t>
      </w:r>
      <w:r>
        <w:tab/>
      </w:r>
      <w:r>
        <w:fldChar w:fldCharType="begin"/>
      </w:r>
      <w:r>
        <w:instrText xml:space="preserve"> PAGEREF _Toc165732916 \h </w:instrText>
      </w:r>
      <w:r>
        <w:fldChar w:fldCharType="separate"/>
      </w:r>
      <w:r>
        <w:t>3</w:t>
      </w:r>
      <w:r>
        <w:fldChar w:fldCharType="end"/>
      </w:r>
      <w:r>
        <w:fldChar w:fldCharType="end"/>
      </w:r>
    </w:p>
    <w:p w14:paraId="657B0986">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"_Toc165732917" </w:instrText>
      </w:r>
      <w:r>
        <w:fldChar w:fldCharType="separate"/>
      </w:r>
      <w:r>
        <w:rPr>
          <w:rStyle w:val="18"/>
        </w:rPr>
        <w:t>6.3  报警</w:t>
      </w:r>
      <w:r>
        <w:tab/>
      </w:r>
      <w:r>
        <w:fldChar w:fldCharType="begin"/>
      </w:r>
      <w:r>
        <w:instrText xml:space="preserve"> PAGEREF _Toc165732917 \h </w:instrText>
      </w:r>
      <w:r>
        <w:fldChar w:fldCharType="separate"/>
      </w:r>
      <w:r>
        <w:t>3</w:t>
      </w:r>
      <w:r>
        <w:fldChar w:fldCharType="end"/>
      </w:r>
      <w:r>
        <w:fldChar w:fldCharType="end"/>
      </w:r>
    </w:p>
    <w:p w14:paraId="1D4667E8">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"_Toc165732918" </w:instrText>
      </w:r>
      <w:r>
        <w:fldChar w:fldCharType="separate"/>
      </w:r>
      <w:r>
        <w:rPr>
          <w:rStyle w:val="18"/>
        </w:rPr>
        <w:t>6.4  开机/关机</w:t>
      </w:r>
      <w:r>
        <w:tab/>
      </w:r>
      <w:r>
        <w:fldChar w:fldCharType="begin"/>
      </w:r>
      <w:r>
        <w:instrText xml:space="preserve"> PAGEREF _Toc165732918 \h </w:instrText>
      </w:r>
      <w:r>
        <w:fldChar w:fldCharType="separate"/>
      </w:r>
      <w:r>
        <w:t>3</w:t>
      </w:r>
      <w:r>
        <w:fldChar w:fldCharType="end"/>
      </w:r>
      <w:r>
        <w:fldChar w:fldCharType="end"/>
      </w:r>
    </w:p>
    <w:p w14:paraId="2BDBB96E">
      <w:pPr>
        <w:pStyle w:val="11"/>
        <w:rPr>
          <w:rFonts w:asciiTheme="minorHAnsi" w:hAnsiTheme="minorHAnsi" w:eastAsiaTheme="minorEastAsia" w:cstheme="minorBidi"/>
          <w14:ligatures w14:val="standardContextual"/>
        </w:rPr>
      </w:pPr>
      <w:r>
        <w:fldChar w:fldCharType="begin"/>
      </w:r>
      <w:r>
        <w:instrText xml:space="preserve"> HYPERLINK \l "_Toc165732919" </w:instrText>
      </w:r>
      <w:r>
        <w:fldChar w:fldCharType="separate"/>
      </w:r>
      <w:r>
        <w:rPr>
          <w:rStyle w:val="18"/>
        </w:rPr>
        <w:t>7、操作向导</w:t>
      </w:r>
      <w:r>
        <w:tab/>
      </w:r>
      <w:r>
        <w:fldChar w:fldCharType="begin"/>
      </w:r>
      <w:r>
        <w:instrText xml:space="preserve"> PAGEREF _Toc165732919 \h </w:instrText>
      </w:r>
      <w:r>
        <w:fldChar w:fldCharType="separate"/>
      </w:r>
      <w:r>
        <w:t>3</w:t>
      </w:r>
      <w:r>
        <w:fldChar w:fldCharType="end"/>
      </w:r>
      <w:r>
        <w:fldChar w:fldCharType="end"/>
      </w:r>
    </w:p>
    <w:p w14:paraId="3D04759A">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"_Toc165732920" </w:instrText>
      </w:r>
      <w:r>
        <w:fldChar w:fldCharType="separate"/>
      </w:r>
      <w:r>
        <w:rPr>
          <w:rStyle w:val="18"/>
        </w:rPr>
        <w:t>7.1  开机</w:t>
      </w:r>
      <w:r>
        <w:tab/>
      </w:r>
      <w:r>
        <w:fldChar w:fldCharType="begin"/>
      </w:r>
      <w:r>
        <w:instrText xml:space="preserve"> PAGEREF _Toc165732920 \h </w:instrText>
      </w:r>
      <w:r>
        <w:fldChar w:fldCharType="separate"/>
      </w:r>
      <w:r>
        <w:t>3</w:t>
      </w:r>
      <w:r>
        <w:fldChar w:fldCharType="end"/>
      </w:r>
      <w:r>
        <w:fldChar w:fldCharType="end"/>
      </w:r>
    </w:p>
    <w:p w14:paraId="330BD6B1">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"_Toc165732921" </w:instrText>
      </w:r>
      <w:r>
        <w:fldChar w:fldCharType="separate"/>
      </w:r>
      <w:r>
        <w:rPr>
          <w:rStyle w:val="18"/>
        </w:rPr>
        <w:t>7.2  主界面</w:t>
      </w:r>
      <w:r>
        <w:tab/>
      </w:r>
      <w:r>
        <w:fldChar w:fldCharType="begin"/>
      </w:r>
      <w:r>
        <w:instrText xml:space="preserve"> PAGEREF _Toc165732921 \h </w:instrText>
      </w:r>
      <w:r>
        <w:fldChar w:fldCharType="separate"/>
      </w:r>
      <w:r>
        <w:t>3</w:t>
      </w:r>
      <w:r>
        <w:fldChar w:fldCharType="end"/>
      </w:r>
      <w:r>
        <w:fldChar w:fldCharType="end"/>
      </w:r>
    </w:p>
    <w:p w14:paraId="0F38F29A">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"_Toc165732922" </w:instrText>
      </w:r>
      <w:r>
        <w:fldChar w:fldCharType="separate"/>
      </w:r>
      <w:r>
        <w:rPr>
          <w:rStyle w:val="18"/>
        </w:rPr>
        <w:t>7.3  模式切换</w:t>
      </w:r>
      <w:r>
        <w:tab/>
      </w:r>
      <w:r>
        <w:fldChar w:fldCharType="begin"/>
      </w:r>
      <w:r>
        <w:instrText xml:space="preserve"> PAGEREF _Toc165732922 \h </w:instrText>
      </w:r>
      <w:r>
        <w:fldChar w:fldCharType="separate"/>
      </w:r>
      <w:r>
        <w:t>5</w:t>
      </w:r>
      <w:r>
        <w:fldChar w:fldCharType="end"/>
      </w:r>
      <w:r>
        <w:fldChar w:fldCharType="end"/>
      </w:r>
    </w:p>
    <w:p w14:paraId="6B45BC1D">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"_Toc165732923" </w:instrText>
      </w:r>
      <w:r>
        <w:fldChar w:fldCharType="separate"/>
      </w:r>
      <w:r>
        <w:rPr>
          <w:rStyle w:val="18"/>
        </w:rPr>
        <w:t>7.4  功能设置菜单</w:t>
      </w:r>
      <w:r>
        <w:tab/>
      </w:r>
      <w:r>
        <w:fldChar w:fldCharType="begin"/>
      </w:r>
      <w:r>
        <w:instrText xml:space="preserve"> PAGEREF _Toc165732923 \h </w:instrText>
      </w:r>
      <w:r>
        <w:fldChar w:fldCharType="separate"/>
      </w:r>
      <w:r>
        <w:t>7</w:t>
      </w:r>
      <w:r>
        <w:fldChar w:fldCharType="end"/>
      </w:r>
      <w:r>
        <w:fldChar w:fldCharType="end"/>
      </w:r>
    </w:p>
    <w:p w14:paraId="4B2DADC4">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"_Toc165732924" </w:instrText>
      </w:r>
      <w:r>
        <w:fldChar w:fldCharType="separate"/>
      </w:r>
      <w:r>
        <w:rPr>
          <w:rStyle w:val="18"/>
        </w:rPr>
        <w:t>7.5  通讯设置</w:t>
      </w:r>
      <w:r>
        <w:tab/>
      </w:r>
      <w:r>
        <w:fldChar w:fldCharType="begin"/>
      </w:r>
      <w:r>
        <w:instrText xml:space="preserve"> PAGEREF _Toc165732924 \h </w:instrText>
      </w:r>
      <w:r>
        <w:fldChar w:fldCharType="separate"/>
      </w:r>
      <w:r>
        <w:t>8</w:t>
      </w:r>
      <w:r>
        <w:fldChar w:fldCharType="end"/>
      </w:r>
      <w:r>
        <w:fldChar w:fldCharType="end"/>
      </w:r>
    </w:p>
    <w:p w14:paraId="027A1009">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"_Toc165732925" </w:instrText>
      </w:r>
      <w:r>
        <w:fldChar w:fldCharType="separate"/>
      </w:r>
      <w:r>
        <w:rPr>
          <w:rStyle w:val="18"/>
        </w:rPr>
        <w:t>7.6  系统参数设置</w:t>
      </w:r>
      <w:r>
        <w:tab/>
      </w:r>
      <w:r>
        <w:fldChar w:fldCharType="begin"/>
      </w:r>
      <w:r>
        <w:instrText xml:space="preserve"> PAGEREF _Toc165732925 \h </w:instrText>
      </w:r>
      <w:r>
        <w:fldChar w:fldCharType="separate"/>
      </w:r>
      <w:r>
        <w:t>9</w:t>
      </w:r>
      <w:r>
        <w:fldChar w:fldCharType="end"/>
      </w:r>
      <w:r>
        <w:fldChar w:fldCharType="end"/>
      </w:r>
    </w:p>
    <w:p w14:paraId="27BE40AE">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"_Toc165732926" </w:instrText>
      </w:r>
      <w:r>
        <w:fldChar w:fldCharType="separate"/>
      </w:r>
      <w:r>
        <w:rPr>
          <w:rStyle w:val="18"/>
        </w:rPr>
        <w:t>7.7  内置探头参数设置</w:t>
      </w:r>
      <w:r>
        <w:tab/>
      </w:r>
      <w:r>
        <w:fldChar w:fldCharType="begin"/>
      </w:r>
      <w:r>
        <w:instrText xml:space="preserve"> PAGEREF _Toc165732926 \h </w:instrText>
      </w:r>
      <w:r>
        <w:fldChar w:fldCharType="separate"/>
      </w:r>
      <w:r>
        <w:t>9</w:t>
      </w:r>
      <w:r>
        <w:fldChar w:fldCharType="end"/>
      </w:r>
      <w:r>
        <w:fldChar w:fldCharType="end"/>
      </w:r>
    </w:p>
    <w:p w14:paraId="6FB4618E">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"_Toc165732927" </w:instrText>
      </w:r>
      <w:r>
        <w:fldChar w:fldCharType="separate"/>
      </w:r>
      <w:r>
        <w:rPr>
          <w:rStyle w:val="18"/>
        </w:rPr>
        <w:t>7.8  外部探测器设置</w:t>
      </w:r>
      <w:r>
        <w:tab/>
      </w:r>
      <w:r>
        <w:fldChar w:fldCharType="begin"/>
      </w:r>
      <w:r>
        <w:instrText xml:space="preserve"> PAGEREF _Toc165732927 \h </w:instrText>
      </w:r>
      <w:r>
        <w:fldChar w:fldCharType="separate"/>
      </w:r>
      <w:r>
        <w:t>10</w:t>
      </w:r>
      <w:r>
        <w:fldChar w:fldCharType="end"/>
      </w:r>
      <w:r>
        <w:fldChar w:fldCharType="end"/>
      </w:r>
    </w:p>
    <w:p w14:paraId="53334023">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"_Toc165732928" </w:instrText>
      </w:r>
      <w:r>
        <w:fldChar w:fldCharType="separate"/>
      </w:r>
      <w:r>
        <w:rPr>
          <w:rStyle w:val="18"/>
        </w:rPr>
        <w:t>7.9  存储设置界面</w:t>
      </w:r>
      <w:r>
        <w:tab/>
      </w:r>
      <w:r>
        <w:fldChar w:fldCharType="begin"/>
      </w:r>
      <w:r>
        <w:instrText xml:space="preserve"> PAGEREF _Toc165732928 \h </w:instrText>
      </w:r>
      <w:r>
        <w:fldChar w:fldCharType="separate"/>
      </w:r>
      <w:r>
        <w:t>13</w:t>
      </w:r>
      <w:r>
        <w:fldChar w:fldCharType="end"/>
      </w:r>
      <w:r>
        <w:fldChar w:fldCharType="end"/>
      </w:r>
    </w:p>
    <w:p w14:paraId="04473524">
      <w:pPr>
        <w:pStyle w:val="12"/>
        <w:tabs>
          <w:tab w:val="right" w:leader="dot" w:pos="9344"/>
        </w:tabs>
        <w:rPr>
          <w:rFonts w:asciiTheme="minorHAnsi" w:hAnsiTheme="minorHAnsi" w:eastAsiaTheme="minorEastAsia" w:cstheme="minorBidi"/>
          <w14:ligatures w14:val="standardContextual"/>
        </w:rPr>
      </w:pPr>
      <w:r>
        <w:fldChar w:fldCharType="begin"/>
      </w:r>
      <w:r>
        <w:instrText xml:space="preserve"> HYPERLINK \l "_Toc165732929" </w:instrText>
      </w:r>
      <w:r>
        <w:fldChar w:fldCharType="separate"/>
      </w:r>
      <w:r>
        <w:rPr>
          <w:rStyle w:val="18"/>
        </w:rPr>
        <w:t>7.10 关于本机</w:t>
      </w:r>
      <w:r>
        <w:tab/>
      </w:r>
      <w:r>
        <w:fldChar w:fldCharType="begin"/>
      </w:r>
      <w:r>
        <w:instrText xml:space="preserve"> PAGEREF _Toc165732929 \h </w:instrText>
      </w:r>
      <w:r>
        <w:fldChar w:fldCharType="separate"/>
      </w:r>
      <w:r>
        <w:t>14</w:t>
      </w:r>
      <w:r>
        <w:fldChar w:fldCharType="end"/>
      </w:r>
      <w:r>
        <w:fldChar w:fldCharType="end"/>
      </w:r>
    </w:p>
    <w:p w14:paraId="7178289D">
      <w:pPr>
        <w:pStyle w:val="11"/>
        <w:rPr>
          <w:rFonts w:asciiTheme="minorHAnsi" w:hAnsiTheme="minorHAnsi" w:eastAsiaTheme="minorEastAsia" w:cstheme="minorBidi"/>
          <w14:ligatures w14:val="standardContextual"/>
        </w:rPr>
      </w:pPr>
      <w:r>
        <w:fldChar w:fldCharType="begin"/>
      </w:r>
      <w:r>
        <w:instrText xml:space="preserve"> HYPERLINK \l "_Toc165732930" </w:instrText>
      </w:r>
      <w:r>
        <w:fldChar w:fldCharType="separate"/>
      </w:r>
      <w:r>
        <w:rPr>
          <w:rStyle w:val="18"/>
        </w:rPr>
        <w:t>8、故障分析与排除</w:t>
      </w:r>
      <w:r>
        <w:tab/>
      </w:r>
      <w:r>
        <w:fldChar w:fldCharType="begin"/>
      </w:r>
      <w:r>
        <w:instrText xml:space="preserve"> PAGEREF _Toc165732930 \h </w:instrText>
      </w:r>
      <w:r>
        <w:fldChar w:fldCharType="separate"/>
      </w:r>
      <w:r>
        <w:t>14</w:t>
      </w:r>
      <w:r>
        <w:fldChar w:fldCharType="end"/>
      </w:r>
      <w:r>
        <w:fldChar w:fldCharType="end"/>
      </w:r>
    </w:p>
    <w:p w14:paraId="05941D8E">
      <w:pPr>
        <w:pStyle w:val="11"/>
        <w:rPr>
          <w:rFonts w:asciiTheme="minorHAnsi" w:hAnsiTheme="minorHAnsi" w:eastAsiaTheme="minorEastAsia" w:cstheme="minorBidi"/>
          <w14:ligatures w14:val="standardContextual"/>
        </w:rPr>
      </w:pPr>
      <w:r>
        <w:fldChar w:fldCharType="begin"/>
      </w:r>
      <w:r>
        <w:instrText xml:space="preserve"> HYPERLINK \l "_Toc165732931" </w:instrText>
      </w:r>
      <w:r>
        <w:fldChar w:fldCharType="separate"/>
      </w:r>
      <w:r>
        <w:rPr>
          <w:rStyle w:val="18"/>
        </w:rPr>
        <w:t>9、保养、校准</w:t>
      </w:r>
      <w:r>
        <w:tab/>
      </w:r>
      <w:r>
        <w:fldChar w:fldCharType="begin"/>
      </w:r>
      <w:r>
        <w:instrText xml:space="preserve"> PAGEREF _Toc165732931 \h </w:instrText>
      </w:r>
      <w:r>
        <w:fldChar w:fldCharType="separate"/>
      </w:r>
      <w:r>
        <w:t>14</w:t>
      </w:r>
      <w:r>
        <w:fldChar w:fldCharType="end"/>
      </w:r>
      <w:r>
        <w:fldChar w:fldCharType="end"/>
      </w:r>
    </w:p>
    <w:p w14:paraId="54E7AE92">
      <w:pPr>
        <w:pStyle w:val="11"/>
        <w:rPr>
          <w:rFonts w:asciiTheme="minorHAnsi" w:hAnsiTheme="minorHAnsi" w:eastAsiaTheme="minorEastAsia" w:cstheme="minorBidi"/>
          <w14:ligatures w14:val="standardContextual"/>
        </w:rPr>
      </w:pPr>
      <w:r>
        <w:fldChar w:fldCharType="begin"/>
      </w:r>
      <w:r>
        <w:instrText xml:space="preserve"> HYPERLINK \l "_Toc165732932" </w:instrText>
      </w:r>
      <w:r>
        <w:fldChar w:fldCharType="separate"/>
      </w:r>
      <w:r>
        <w:rPr>
          <w:rStyle w:val="18"/>
        </w:rPr>
        <w:t>10、运输储存开箱及开箱检查</w:t>
      </w:r>
      <w:r>
        <w:tab/>
      </w:r>
      <w:r>
        <w:fldChar w:fldCharType="begin"/>
      </w:r>
      <w:r>
        <w:instrText xml:space="preserve"> PAGEREF _Toc165732932 \h </w:instrText>
      </w:r>
      <w:r>
        <w:fldChar w:fldCharType="separate"/>
      </w:r>
      <w:r>
        <w:t>15</w:t>
      </w:r>
      <w:r>
        <w:fldChar w:fldCharType="end"/>
      </w:r>
      <w:r>
        <w:fldChar w:fldCharType="end"/>
      </w:r>
    </w:p>
    <w:p w14:paraId="205C4CD2">
      <w:pPr>
        <w:pStyle w:val="11"/>
        <w:rPr>
          <w:rFonts w:asciiTheme="minorHAnsi" w:hAnsiTheme="minorHAnsi" w:eastAsiaTheme="minorEastAsia" w:cstheme="minorBidi"/>
          <w14:ligatures w14:val="standardContextual"/>
        </w:rPr>
      </w:pPr>
      <w:r>
        <w:fldChar w:fldCharType="begin"/>
      </w:r>
      <w:r>
        <w:instrText xml:space="preserve"> HYPERLINK \l "_Toc165732933" </w:instrText>
      </w:r>
      <w:r>
        <w:fldChar w:fldCharType="separate"/>
      </w:r>
      <w:r>
        <w:rPr>
          <w:rStyle w:val="18"/>
        </w:rPr>
        <w:t>11、仪器成套及附件</w:t>
      </w:r>
      <w:r>
        <w:tab/>
      </w:r>
      <w:r>
        <w:fldChar w:fldCharType="begin"/>
      </w:r>
      <w:r>
        <w:instrText xml:space="preserve"> PAGEREF _Toc165732933 \h </w:instrText>
      </w:r>
      <w:r>
        <w:fldChar w:fldCharType="separate"/>
      </w:r>
      <w:r>
        <w:t>15</w:t>
      </w:r>
      <w:r>
        <w:fldChar w:fldCharType="end"/>
      </w:r>
      <w:r>
        <w:fldChar w:fldCharType="end"/>
      </w:r>
    </w:p>
    <w:p w14:paraId="15BDC50A">
      <w:pPr>
        <w:ind w:firstLine="560"/>
        <w:rPr>
          <w:b/>
          <w:sz w:val="36"/>
          <w:szCs w:val="36"/>
        </w:rPr>
        <w:sectPr>
          <w:footerReference r:id="rId10" w:type="default"/>
          <w:pgSz w:w="11906" w:h="16838"/>
          <w:pgMar w:top="1134" w:right="1134" w:bottom="1134" w:left="1418" w:header="851" w:footer="992" w:gutter="0"/>
          <w:pgNumType w:fmt="upperRoman" w:start="1"/>
          <w:cols w:space="425" w:num="1"/>
          <w:docGrid w:type="lines" w:linePitch="312" w:charSpace="0"/>
        </w:sectPr>
      </w:pPr>
      <w:r>
        <w:rPr>
          <w:bCs/>
          <w:sz w:val="28"/>
          <w:szCs w:val="28"/>
          <w:lang w:val="zh-CN"/>
        </w:rPr>
        <w:fldChar w:fldCharType="end"/>
      </w:r>
    </w:p>
    <w:p w14:paraId="24643F62">
      <w:pPr>
        <w:ind w:firstLine="643"/>
        <w:jc w:val="center"/>
        <w:rPr>
          <w:b/>
          <w:sz w:val="32"/>
          <w:szCs w:val="32"/>
        </w:rPr>
      </w:pPr>
      <w:r>
        <w:rPr>
          <w:rFonts w:hint="eastAsia"/>
          <w:b/>
          <w:sz w:val="32"/>
          <w:szCs w:val="32"/>
        </w:rPr>
        <w:t>α 、β表面污染检测仪</w:t>
      </w:r>
    </w:p>
    <w:p w14:paraId="05BD170E">
      <w:pPr>
        <w:ind w:firstLine="643"/>
        <w:jc w:val="center"/>
        <w:rPr>
          <w:b/>
          <w:sz w:val="32"/>
          <w:szCs w:val="32"/>
        </w:rPr>
      </w:pPr>
      <w:r>
        <w:rPr>
          <w:b/>
          <w:sz w:val="32"/>
          <w:szCs w:val="32"/>
        </w:rPr>
        <w:t>使用说明书</w:t>
      </w:r>
    </w:p>
    <w:p w14:paraId="4D3460C8">
      <w:pPr>
        <w:pStyle w:val="2"/>
      </w:pPr>
      <w:bookmarkStart w:id="0" w:name="_Toc165732906"/>
      <w:r>
        <w:rPr>
          <w:rFonts w:hint="eastAsia"/>
        </w:rPr>
        <w:t>1</w:t>
      </w:r>
      <w:r>
        <w:t>、概述</w:t>
      </w:r>
      <w:bookmarkEnd w:id="0"/>
    </w:p>
    <w:p w14:paraId="13C3B13D">
      <w:pPr>
        <w:ind w:firstLine="630" w:firstLineChars="300"/>
      </w:pPr>
      <w:r>
        <w:rPr>
          <w:rFonts w:hint="eastAsia"/>
        </w:rPr>
        <w:t>α、β表面污染检测仪主要用于测量放射性场所的物体、衣物、墙面、地板及人员体表等表面的α射线、β射线的放射性污染水平，也可以面向军队和地方核事故应急中心、培训机构、救援分队和定点医疗救治医院，开展核应急放射性污染表面检测工作。</w:t>
      </w:r>
    </w:p>
    <w:p w14:paraId="76B64A81">
      <w:pPr>
        <w:pStyle w:val="2"/>
      </w:pPr>
      <w:bookmarkStart w:id="1" w:name="_Toc165732907"/>
      <w:r>
        <w:rPr>
          <w:rFonts w:hint="eastAsia"/>
        </w:rPr>
        <w:t>2</w:t>
      </w:r>
      <w:r>
        <w:t>、工作原理</w:t>
      </w:r>
      <w:bookmarkEnd w:id="1"/>
    </w:p>
    <w:p w14:paraId="6AA13A0D">
      <w:pPr>
        <w:ind w:firstLine="420" w:firstLineChars="200"/>
        <w:rPr>
          <w:rFonts w:hAnsi="宋体"/>
          <w:color w:val="000000"/>
          <w:szCs w:val="21"/>
        </w:rPr>
      </w:pPr>
      <w:r>
        <w:rPr>
          <w:rFonts w:hint="eastAsia" w:hAnsi="宋体"/>
          <w:color w:val="000000"/>
          <w:szCs w:val="21"/>
        </w:rPr>
        <w:t>仪器采用复合闪烁体（ZnS(Ag)涂层+塑料闪烁体）探测器，复合闪烁体（ZnS(Ag)涂层+塑料闪烁体）在α、β射线照射下，都能发出荧光，通过光电倍增管将光信号转换为电信号，这些信号被集成在探头上的放大器放大，然后传输到显示单元进行计数、处理和显示。</w:t>
      </w:r>
    </w:p>
    <w:p w14:paraId="05B9D080">
      <w:pPr>
        <w:ind w:firstLine="420" w:firstLineChars="200"/>
        <w:rPr>
          <w:rFonts w:hint="eastAsia" w:hAnsi="宋体"/>
          <w:color w:val="000000"/>
          <w:szCs w:val="21"/>
        </w:rPr>
      </w:pPr>
      <w:r>
        <w:rPr>
          <w:rFonts w:hint="eastAsia" w:hAnsi="宋体"/>
          <w:color w:val="000000"/>
          <w:szCs w:val="21"/>
        </w:rPr>
        <w:t>该仪器操作非常简单，通过简单的多功能键就可以完成。重量轻，单手即可完成例行检测任务。使用彩色液晶，即使在恶劣的环境下，也可以清晰、直观的给出测量结果。</w:t>
      </w:r>
    </w:p>
    <w:p w14:paraId="2381336E">
      <w:pPr>
        <w:ind w:firstLine="420" w:firstLineChars="200"/>
        <w:rPr>
          <w:rFonts w:hint="eastAsia" w:hAnsi="宋体"/>
          <w:color w:val="000000"/>
          <w:szCs w:val="21"/>
        </w:rPr>
      </w:pPr>
      <w:r>
        <w:rPr>
          <w:rFonts w:hint="eastAsia" w:hAnsi="宋体" w:eastAsia="宋体"/>
          <w:color w:val="000000"/>
          <w:szCs w:val="21"/>
          <w:lang w:eastAsia="zh-CN"/>
        </w:rPr>
        <w:drawing>
          <wp:anchor distT="0" distB="0" distL="114300" distR="114300" simplePos="0" relativeHeight="251662336" behindDoc="1" locked="0" layoutInCell="1" allowOverlap="1">
            <wp:simplePos x="0" y="0"/>
            <wp:positionH relativeFrom="column">
              <wp:posOffset>1783080</wp:posOffset>
            </wp:positionH>
            <wp:positionV relativeFrom="paragraph">
              <wp:posOffset>190500</wp:posOffset>
            </wp:positionV>
            <wp:extent cx="3328670" cy="1543050"/>
            <wp:effectExtent l="0" t="0" r="8890" b="11430"/>
            <wp:wrapNone/>
            <wp:docPr id="1" name="图片 1" descr="中性表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性表污"/>
                    <pic:cNvPicPr>
                      <a:picLocks noChangeAspect="1"/>
                    </pic:cNvPicPr>
                  </pic:nvPicPr>
                  <pic:blipFill>
                    <a:blip r:embed="rId22"/>
                    <a:stretch>
                      <a:fillRect/>
                    </a:stretch>
                  </pic:blipFill>
                  <pic:spPr>
                    <a:xfrm>
                      <a:off x="0" y="0"/>
                      <a:ext cx="3328670" cy="1543050"/>
                    </a:xfrm>
                    <a:prstGeom prst="rect">
                      <a:avLst/>
                    </a:prstGeom>
                  </pic:spPr>
                </pic:pic>
              </a:graphicData>
            </a:graphic>
          </wp:anchor>
        </w:drawing>
      </w:r>
    </w:p>
    <w:p w14:paraId="5851F33C">
      <w:pPr>
        <w:ind w:firstLine="420" w:firstLineChars="200"/>
        <w:rPr>
          <w:rFonts w:hint="eastAsia" w:hAnsi="宋体" w:eastAsia="宋体"/>
          <w:color w:val="000000"/>
          <w:szCs w:val="21"/>
          <w:lang w:eastAsia="zh-CN"/>
        </w:rPr>
      </w:pPr>
    </w:p>
    <w:p w14:paraId="11088F68">
      <w:pPr>
        <w:ind w:firstLine="420" w:firstLineChars="200"/>
        <w:rPr>
          <w:rFonts w:hint="eastAsia" w:hAnsi="宋体"/>
          <w:color w:val="000000"/>
          <w:szCs w:val="21"/>
        </w:rPr>
      </w:pPr>
    </w:p>
    <w:p w14:paraId="181B0A67">
      <w:pPr>
        <w:ind w:firstLine="420" w:firstLineChars="200"/>
        <w:rPr>
          <w:rFonts w:hint="eastAsia" w:hAnsi="宋体"/>
          <w:color w:val="000000"/>
          <w:szCs w:val="21"/>
        </w:rPr>
      </w:pPr>
    </w:p>
    <w:p w14:paraId="21BC852D">
      <w:pPr>
        <w:ind w:firstLine="420" w:firstLineChars="200"/>
        <w:rPr>
          <w:rFonts w:hint="eastAsia" w:hAnsi="宋体"/>
          <w:color w:val="000000"/>
          <w:szCs w:val="21"/>
        </w:rPr>
      </w:pPr>
    </w:p>
    <w:p w14:paraId="79C25614">
      <w:pPr>
        <w:ind w:firstLine="420" w:firstLineChars="200"/>
        <w:rPr>
          <w:rFonts w:hint="eastAsia" w:hAnsi="宋体"/>
          <w:color w:val="000000"/>
          <w:szCs w:val="21"/>
        </w:rPr>
      </w:pPr>
    </w:p>
    <w:p w14:paraId="39ADECCE">
      <w:pPr>
        <w:ind w:firstLine="360"/>
        <w:jc w:val="center"/>
        <w:rPr>
          <w:color w:val="000000"/>
          <w:sz w:val="18"/>
          <w:szCs w:val="18"/>
        </w:rPr>
      </w:pPr>
    </w:p>
    <w:p w14:paraId="2969798C">
      <w:pPr>
        <w:pStyle w:val="2"/>
      </w:pPr>
      <w:bookmarkStart w:id="2" w:name="_Toc165732908"/>
      <w:r>
        <w:rPr>
          <w:rFonts w:hint="eastAsia"/>
        </w:rPr>
        <w:t>3</w:t>
      </w:r>
      <w:r>
        <w:t>、技术特性</w:t>
      </w:r>
      <w:bookmarkEnd w:id="2"/>
    </w:p>
    <w:p w14:paraId="360FF3CD">
      <w:pPr>
        <w:ind w:firstLine="420" w:firstLineChars="200"/>
      </w:pPr>
      <w:r>
        <w:rPr>
          <w:rFonts w:hint="eastAsia"/>
        </w:rPr>
        <w:t>符合以下标准：GB/T5202-2008《辐射防护仪器 α、β和α/β污染测量仪与监测仪》，GB/T 8993-1998《核仪器环境条件与试验方法》，GB/T10257-2001《核仪器与核辐射探测器质量检验规则》。</w:t>
      </w:r>
    </w:p>
    <w:p w14:paraId="1B7E01FC">
      <w:pPr>
        <w:pStyle w:val="3"/>
      </w:pPr>
      <w:bookmarkStart w:id="3" w:name="_Toc165732909"/>
      <w:r>
        <w:t>3.1  辐射特性</w:t>
      </w:r>
      <w:bookmarkEnd w:id="3"/>
    </w:p>
    <w:p w14:paraId="7E1A2CB1">
      <w:pPr>
        <w:pStyle w:val="21"/>
        <w:numPr>
          <w:ilvl w:val="0"/>
          <w:numId w:val="3"/>
        </w:numPr>
        <w:ind w:firstLineChars="0"/>
        <w:rPr>
          <w:rFonts w:hAnsi="Calibri"/>
        </w:rPr>
      </w:pPr>
      <w:r>
        <w:rPr>
          <w:rFonts w:hint="eastAsia" w:hAnsi="Calibri"/>
        </w:rPr>
        <w:t>主机显示：3.2英寸彩色液晶，分辨率240*320，带背光</w:t>
      </w:r>
    </w:p>
    <w:p w14:paraId="1585EAF3">
      <w:pPr>
        <w:pStyle w:val="21"/>
        <w:numPr>
          <w:ilvl w:val="0"/>
          <w:numId w:val="3"/>
        </w:numPr>
        <w:ind w:firstLineChars="0"/>
        <w:rPr>
          <w:rFonts w:hAnsi="Calibri"/>
        </w:rPr>
      </w:pPr>
      <w:r>
        <w:rPr>
          <w:rFonts w:hint="eastAsia" w:hAnsi="Calibri"/>
        </w:rPr>
        <w:t>探测器类型：复合闪烁体(ZnS(Ag)+塑料闪烁体)</w:t>
      </w:r>
    </w:p>
    <w:p w14:paraId="02348C77">
      <w:pPr>
        <w:pStyle w:val="21"/>
        <w:numPr>
          <w:ilvl w:val="0"/>
          <w:numId w:val="3"/>
        </w:numPr>
        <w:ind w:firstLineChars="0"/>
        <w:rPr>
          <w:rFonts w:hAnsi="Calibri"/>
        </w:rPr>
      </w:pPr>
      <w:r>
        <w:rPr>
          <w:rFonts w:hint="eastAsia" w:hAnsi="Calibri"/>
        </w:rPr>
        <w:t>测量类型 ：α、β</w:t>
      </w:r>
    </w:p>
    <w:p w14:paraId="5CDBB4C7">
      <w:pPr>
        <w:pStyle w:val="21"/>
        <w:numPr>
          <w:ilvl w:val="0"/>
          <w:numId w:val="3"/>
        </w:numPr>
        <w:ind w:firstLineChars="0"/>
        <w:rPr>
          <w:rFonts w:hAnsi="Calibri"/>
        </w:rPr>
      </w:pPr>
      <w:r>
        <w:rPr>
          <w:rFonts w:hint="eastAsia" w:hAnsi="Calibri"/>
        </w:rPr>
        <w:t>探测窗面积：1</w:t>
      </w:r>
      <w:r>
        <w:rPr>
          <w:rFonts w:hint="eastAsia" w:hAnsi="Calibri"/>
          <w:lang w:val="en-US" w:eastAsia="zh-CN"/>
        </w:rPr>
        <w:t>70</w:t>
      </w:r>
      <w:r>
        <w:rPr>
          <w:rFonts w:hint="eastAsia" w:hAnsi="Calibri"/>
        </w:rPr>
        <w:t>cm</w:t>
      </w:r>
      <w:r>
        <w:rPr>
          <w:rFonts w:hint="eastAsia" w:hAnsi="Calibri"/>
          <w:vertAlign w:val="superscript"/>
        </w:rPr>
        <w:t>2</w:t>
      </w:r>
      <w:r>
        <w:rPr>
          <w:rFonts w:hint="eastAsia" w:hAnsi="Calibri"/>
        </w:rPr>
        <w:t xml:space="preserve"> </w:t>
      </w:r>
    </w:p>
    <w:p w14:paraId="74ED0003">
      <w:pPr>
        <w:pStyle w:val="21"/>
        <w:numPr>
          <w:ilvl w:val="0"/>
          <w:numId w:val="3"/>
        </w:numPr>
        <w:ind w:firstLineChars="0"/>
        <w:rPr>
          <w:rFonts w:hAnsi="Calibri"/>
        </w:rPr>
      </w:pPr>
      <w:r>
        <w:rPr>
          <w:rFonts w:hint="eastAsia" w:hAnsi="Calibri"/>
        </w:rPr>
        <w:t>显示单位 ：cps、Bq或Bq/cm</w:t>
      </w:r>
      <w:r>
        <w:rPr>
          <w:rFonts w:hint="eastAsia" w:hAnsi="Calibri"/>
          <w:vertAlign w:val="superscript"/>
        </w:rPr>
        <w:t>2</w:t>
      </w:r>
    </w:p>
    <w:p w14:paraId="5013DCF2">
      <w:pPr>
        <w:pStyle w:val="21"/>
        <w:numPr>
          <w:ilvl w:val="0"/>
          <w:numId w:val="3"/>
        </w:numPr>
        <w:ind w:firstLineChars="0"/>
        <w:rPr>
          <w:rFonts w:hAnsi="Calibri"/>
        </w:rPr>
      </w:pPr>
      <w:r>
        <w:rPr>
          <w:rFonts w:hint="eastAsia" w:hAnsi="Calibri"/>
        </w:rPr>
        <w:t>测量模式：计数率，活度和单位面积活度测量</w:t>
      </w:r>
    </w:p>
    <w:p w14:paraId="3261942B">
      <w:pPr>
        <w:pStyle w:val="21"/>
        <w:numPr>
          <w:ilvl w:val="0"/>
          <w:numId w:val="3"/>
        </w:numPr>
        <w:ind w:firstLineChars="0"/>
        <w:rPr>
          <w:rFonts w:hAnsi="Calibri"/>
        </w:rPr>
      </w:pPr>
      <w:r>
        <w:rPr>
          <w:rFonts w:hint="eastAsia" w:hAnsi="Calibri"/>
        </w:rPr>
        <w:t>本  底：α≤0.1cps，β≤10cps</w:t>
      </w:r>
    </w:p>
    <w:p w14:paraId="44456781">
      <w:pPr>
        <w:pStyle w:val="21"/>
        <w:numPr>
          <w:ilvl w:val="0"/>
          <w:numId w:val="3"/>
        </w:numPr>
        <w:ind w:firstLineChars="0"/>
        <w:rPr>
          <w:rFonts w:hAnsi="Calibri"/>
        </w:rPr>
      </w:pPr>
      <w:r>
        <w:rPr>
          <w:rFonts w:hint="eastAsia" w:hAnsi="Calibri"/>
        </w:rPr>
        <w:t>本底扣除：扣除和不扣除本底可选，本底测量时间可设</w:t>
      </w:r>
    </w:p>
    <w:p w14:paraId="3D98BF4A">
      <w:pPr>
        <w:pStyle w:val="21"/>
        <w:numPr>
          <w:ilvl w:val="0"/>
          <w:numId w:val="3"/>
        </w:numPr>
        <w:ind w:firstLineChars="0"/>
        <w:rPr>
          <w:rFonts w:hAnsi="Calibri"/>
        </w:rPr>
      </w:pPr>
      <w:r>
        <w:rPr>
          <w:rFonts w:hint="eastAsia" w:hAnsi="Calibri"/>
        </w:rPr>
        <w:t>测量范围：0 ~ 99999 cps (α通道)、0 ~ 50000 cps (β通道)</w:t>
      </w:r>
    </w:p>
    <w:p w14:paraId="4A271769">
      <w:pPr>
        <w:pStyle w:val="21"/>
        <w:numPr>
          <w:ilvl w:val="0"/>
          <w:numId w:val="3"/>
        </w:numPr>
        <w:ind w:firstLineChars="0"/>
        <w:rPr>
          <w:rFonts w:hAnsi="Calibri"/>
        </w:rPr>
      </w:pPr>
      <w:r>
        <w:rPr>
          <w:rFonts w:hint="eastAsia" w:hAnsi="Calibri"/>
        </w:rPr>
        <w:t>探测效率：α：≥45%（2π,</w:t>
      </w:r>
      <w:r>
        <w:rPr>
          <w:rFonts w:hint="eastAsia" w:hAnsi="Calibri"/>
          <w:vertAlign w:val="superscript"/>
        </w:rPr>
        <w:t>241</w:t>
      </w:r>
      <w:r>
        <w:rPr>
          <w:rFonts w:hint="eastAsia" w:hAnsi="Calibri"/>
        </w:rPr>
        <w:t>Am</w:t>
      </w:r>
      <w:r>
        <w:rPr>
          <w:rFonts w:hint="eastAsia" w:hAnsi="Calibri"/>
          <w:lang w:val="en-US" w:eastAsia="zh-CN"/>
        </w:rPr>
        <w:t>或</w:t>
      </w:r>
      <w:r>
        <w:rPr>
          <w:rFonts w:hint="eastAsia" w:hAnsi="Calibri"/>
          <w:vertAlign w:val="superscript"/>
          <w:lang w:val="en-US" w:eastAsia="zh-CN"/>
        </w:rPr>
        <w:t>239</w:t>
      </w:r>
      <w:r>
        <w:rPr>
          <w:rFonts w:hint="eastAsia" w:hAnsi="Calibri"/>
          <w:lang w:val="en-US" w:eastAsia="zh-CN"/>
        </w:rPr>
        <w:t>Pu</w:t>
      </w:r>
      <w:r>
        <w:rPr>
          <w:rFonts w:hint="eastAsia" w:hAnsi="Calibri"/>
        </w:rPr>
        <w:t>）、β：≥55%（2π,</w:t>
      </w:r>
      <w:r>
        <w:rPr>
          <w:rFonts w:hint="eastAsia" w:hAnsi="Calibri"/>
          <w:vertAlign w:val="superscript"/>
        </w:rPr>
        <w:t>90</w:t>
      </w:r>
      <w:r>
        <w:rPr>
          <w:rFonts w:hint="eastAsia" w:hAnsi="Calibri"/>
        </w:rPr>
        <w:t>Sr-90Y</w:t>
      </w:r>
      <w:r>
        <w:rPr>
          <w:rFonts w:hint="eastAsia" w:hAnsi="Calibri"/>
          <w:lang w:val="en-US" w:eastAsia="zh-CN"/>
        </w:rPr>
        <w:t>或</w:t>
      </w:r>
      <w:r>
        <w:rPr>
          <w:rFonts w:hint="eastAsia" w:hAnsi="Calibri"/>
          <w:vertAlign w:val="superscript"/>
          <w:lang w:val="en-US" w:eastAsia="zh-CN"/>
        </w:rPr>
        <w:t>204</w:t>
      </w:r>
      <w:r>
        <w:rPr>
          <w:rFonts w:hint="eastAsia" w:hAnsi="Calibri"/>
          <w:lang w:val="en-US" w:eastAsia="zh-CN"/>
        </w:rPr>
        <w:t>T1</w:t>
      </w:r>
      <w:r>
        <w:rPr>
          <w:rFonts w:hint="eastAsia" w:hAnsi="Calibri"/>
        </w:rPr>
        <w:t xml:space="preserve">） </w:t>
      </w:r>
    </w:p>
    <w:p w14:paraId="31952A5B">
      <w:pPr>
        <w:pStyle w:val="21"/>
        <w:numPr>
          <w:ilvl w:val="0"/>
          <w:numId w:val="3"/>
        </w:numPr>
        <w:ind w:firstLineChars="0"/>
        <w:rPr>
          <w:rFonts w:hAnsi="Calibri"/>
        </w:rPr>
      </w:pPr>
      <w:r>
        <w:rPr>
          <w:rFonts w:hint="eastAsia" w:hAnsi="Calibri"/>
        </w:rPr>
        <w:t xml:space="preserve">串道率：α串入β：&lt;10% ，β串入α：&lt;1% </w:t>
      </w:r>
    </w:p>
    <w:p w14:paraId="1B0615C9">
      <w:pPr>
        <w:pStyle w:val="21"/>
        <w:numPr>
          <w:ilvl w:val="0"/>
          <w:numId w:val="3"/>
        </w:numPr>
        <w:ind w:firstLineChars="0"/>
        <w:rPr>
          <w:rFonts w:hAnsi="Calibri"/>
        </w:rPr>
      </w:pPr>
      <w:r>
        <w:rPr>
          <w:rFonts w:hint="eastAsia" w:hAnsi="Calibri"/>
        </w:rPr>
        <w:t xml:space="preserve">相对固有误差：≤±10% </w:t>
      </w:r>
    </w:p>
    <w:p w14:paraId="1856ED78">
      <w:pPr>
        <w:pStyle w:val="21"/>
        <w:numPr>
          <w:ilvl w:val="0"/>
          <w:numId w:val="3"/>
        </w:numPr>
        <w:ind w:firstLineChars="0"/>
        <w:rPr>
          <w:rFonts w:hAnsi="Calibri"/>
        </w:rPr>
      </w:pPr>
      <w:r>
        <w:rPr>
          <w:rFonts w:hint="eastAsia" w:hAnsi="Calibri"/>
          <w:lang w:val="en-US" w:eastAsia="zh-CN"/>
        </w:rPr>
        <w:t>重复性：＜5%</w:t>
      </w:r>
    </w:p>
    <w:p w14:paraId="0EB4443B">
      <w:pPr>
        <w:pStyle w:val="21"/>
        <w:numPr>
          <w:ilvl w:val="0"/>
          <w:numId w:val="3"/>
        </w:numPr>
        <w:ind w:firstLineChars="0"/>
        <w:rPr>
          <w:rFonts w:hAnsi="Calibri"/>
        </w:rPr>
      </w:pPr>
      <w:r>
        <w:rPr>
          <w:rFonts w:hint="eastAsia" w:hAnsi="Calibri"/>
          <w:lang w:val="en-US" w:eastAsia="zh-CN"/>
        </w:rPr>
        <w:t>响应时间：＜5s</w:t>
      </w:r>
    </w:p>
    <w:p w14:paraId="7020CDB7">
      <w:pPr>
        <w:pStyle w:val="21"/>
        <w:numPr>
          <w:ilvl w:val="0"/>
          <w:numId w:val="3"/>
        </w:numPr>
        <w:ind w:firstLineChars="0"/>
        <w:rPr>
          <w:rFonts w:hAnsi="Calibri"/>
        </w:rPr>
      </w:pPr>
      <w:r>
        <w:rPr>
          <w:rFonts w:hint="eastAsia" w:hAnsi="Calibri"/>
        </w:rPr>
        <w:t>报警方式：声、光报警</w:t>
      </w:r>
    </w:p>
    <w:p w14:paraId="68E6F765">
      <w:pPr>
        <w:pStyle w:val="21"/>
        <w:numPr>
          <w:ilvl w:val="0"/>
          <w:numId w:val="3"/>
        </w:numPr>
        <w:ind w:firstLineChars="0"/>
        <w:rPr>
          <w:rFonts w:hAnsi="Calibri"/>
        </w:rPr>
      </w:pPr>
      <w:r>
        <w:rPr>
          <w:rFonts w:hint="eastAsia" w:hAnsi="Calibri"/>
        </w:rPr>
        <w:t>表面发射率满足国标要求：对α发射体低于0.04Bq/cm</w:t>
      </w:r>
      <w:r>
        <w:rPr>
          <w:rFonts w:hint="eastAsia" w:hAnsi="Calibri"/>
          <w:vertAlign w:val="superscript"/>
        </w:rPr>
        <w:t>2</w:t>
      </w:r>
      <w:r>
        <w:rPr>
          <w:rFonts w:hint="eastAsia" w:hAnsi="Calibri"/>
        </w:rPr>
        <w:t>,对β发射体低于0.4Bq/ cm</w:t>
      </w:r>
      <w:r>
        <w:rPr>
          <w:rFonts w:hint="eastAsia" w:hAnsi="Calibri"/>
          <w:vertAlign w:val="superscript"/>
        </w:rPr>
        <w:t>2</w:t>
      </w:r>
    </w:p>
    <w:p w14:paraId="3DA54A13">
      <w:pPr>
        <w:pStyle w:val="21"/>
        <w:numPr>
          <w:ilvl w:val="0"/>
          <w:numId w:val="3"/>
        </w:numPr>
        <w:ind w:firstLineChars="0"/>
        <w:rPr>
          <w:rFonts w:hAnsi="Calibri"/>
        </w:rPr>
      </w:pPr>
      <w:r>
        <w:rPr>
          <w:rFonts w:hint="eastAsia" w:hAnsi="Calibri"/>
        </w:rPr>
        <w:t>核素库：仪器自带核素库，并有学习功能，可根据用户需求自定义核素库核素</w:t>
      </w:r>
    </w:p>
    <w:p w14:paraId="54B1B85B">
      <w:pPr>
        <w:pStyle w:val="21"/>
        <w:numPr>
          <w:ilvl w:val="0"/>
          <w:numId w:val="3"/>
        </w:numPr>
        <w:ind w:firstLineChars="0"/>
        <w:rPr>
          <w:rFonts w:hAnsi="Calibri"/>
        </w:rPr>
      </w:pPr>
      <w:r>
        <w:rPr>
          <w:rFonts w:hint="eastAsia" w:hAnsi="Calibri"/>
        </w:rPr>
        <w:t>数据存储：存储间隔时间1S~1h连续可调，可显示历史数据及存储20000组数据</w:t>
      </w:r>
    </w:p>
    <w:p w14:paraId="6215AC75">
      <w:pPr>
        <w:pStyle w:val="3"/>
      </w:pPr>
      <w:bookmarkStart w:id="4" w:name="_Toc165732910"/>
      <w:r>
        <w:t>3.2  环境特性</w:t>
      </w:r>
      <w:bookmarkEnd w:id="4"/>
    </w:p>
    <w:p w14:paraId="7A9D33A6">
      <w:pPr>
        <w:pStyle w:val="21"/>
        <w:numPr>
          <w:ilvl w:val="0"/>
          <w:numId w:val="3"/>
        </w:numPr>
        <w:ind w:firstLineChars="0"/>
        <w:rPr>
          <w:kern w:val="0"/>
        </w:rPr>
      </w:pPr>
      <w:r>
        <w:rPr>
          <w:rFonts w:hint="eastAsia"/>
          <w:kern w:val="0"/>
        </w:rPr>
        <w:t>工作</w:t>
      </w:r>
      <w:r>
        <w:rPr>
          <w:kern w:val="0"/>
        </w:rPr>
        <w:t>温度： -41℃~50℃</w:t>
      </w:r>
    </w:p>
    <w:p w14:paraId="30BAD695">
      <w:pPr>
        <w:pStyle w:val="21"/>
        <w:numPr>
          <w:ilvl w:val="0"/>
          <w:numId w:val="3"/>
        </w:numPr>
        <w:ind w:firstLineChars="0"/>
        <w:rPr>
          <w:kern w:val="0"/>
        </w:rPr>
      </w:pPr>
      <w:r>
        <w:rPr>
          <w:kern w:val="0"/>
        </w:rPr>
        <w:t>贮存温度： -41℃~50℃</w:t>
      </w:r>
    </w:p>
    <w:p w14:paraId="56D8708F">
      <w:pPr>
        <w:pStyle w:val="21"/>
        <w:numPr>
          <w:ilvl w:val="0"/>
          <w:numId w:val="3"/>
        </w:numPr>
        <w:ind w:firstLineChars="0"/>
        <w:rPr>
          <w:kern w:val="0"/>
        </w:rPr>
      </w:pPr>
      <w:r>
        <w:rPr>
          <w:rFonts w:hint="eastAsia"/>
          <w:kern w:val="0"/>
        </w:rPr>
        <w:t>相对湿度：≤</w:t>
      </w:r>
      <w:r>
        <w:rPr>
          <w:kern w:val="0"/>
        </w:rPr>
        <w:t>90% (35</w:t>
      </w:r>
      <w:r>
        <w:rPr>
          <w:rFonts w:hint="eastAsia"/>
          <w:kern w:val="0"/>
        </w:rPr>
        <w:t>℃</w:t>
      </w:r>
      <w:r>
        <w:rPr>
          <w:kern w:val="0"/>
        </w:rPr>
        <w:t>)</w:t>
      </w:r>
    </w:p>
    <w:p w14:paraId="456A6C3D">
      <w:pPr>
        <w:pStyle w:val="21"/>
        <w:numPr>
          <w:ilvl w:val="0"/>
          <w:numId w:val="3"/>
        </w:numPr>
        <w:ind w:firstLineChars="0"/>
        <w:rPr>
          <w:kern w:val="0"/>
        </w:rPr>
      </w:pPr>
      <w:r>
        <w:rPr>
          <w:kern w:val="0"/>
        </w:rPr>
        <w:t>防护等级</w:t>
      </w:r>
      <w:r>
        <w:rPr>
          <w:rFonts w:hint="eastAsia"/>
          <w:kern w:val="0"/>
        </w:rPr>
        <w:t>：</w:t>
      </w:r>
      <w:r>
        <w:rPr>
          <w:kern w:val="0"/>
        </w:rPr>
        <w:t>IP</w:t>
      </w:r>
      <w:r>
        <w:rPr>
          <w:rFonts w:hint="eastAsia"/>
          <w:kern w:val="0"/>
        </w:rPr>
        <w:t>65</w:t>
      </w:r>
    </w:p>
    <w:p w14:paraId="36F1D063">
      <w:pPr>
        <w:pStyle w:val="3"/>
      </w:pPr>
      <w:bookmarkStart w:id="5" w:name="_Toc165732911"/>
      <w:r>
        <w:t>3.3  电气特性</w:t>
      </w:r>
      <w:bookmarkEnd w:id="5"/>
    </w:p>
    <w:p w14:paraId="0BC9B0E0">
      <w:pPr>
        <w:pStyle w:val="21"/>
        <w:numPr>
          <w:ilvl w:val="0"/>
          <w:numId w:val="3"/>
        </w:numPr>
        <w:ind w:firstLineChars="0"/>
        <w:rPr>
          <w:kern w:val="0"/>
        </w:rPr>
      </w:pPr>
      <w:r>
        <w:rPr>
          <w:kern w:val="0"/>
        </w:rPr>
        <w:t>电源：由主机供电</w:t>
      </w:r>
      <w:r>
        <w:rPr>
          <w:rFonts w:hint="eastAsia"/>
          <w:kern w:val="0"/>
        </w:rPr>
        <w:t>（内置充电锂电池）</w:t>
      </w:r>
    </w:p>
    <w:p w14:paraId="563B0641">
      <w:pPr>
        <w:pStyle w:val="21"/>
        <w:numPr>
          <w:ilvl w:val="0"/>
          <w:numId w:val="3"/>
        </w:numPr>
        <w:ind w:firstLineChars="0"/>
        <w:rPr>
          <w:kern w:val="0"/>
        </w:rPr>
      </w:pPr>
      <w:r>
        <w:rPr>
          <w:rFonts w:hint="eastAsia"/>
          <w:kern w:val="0"/>
        </w:rPr>
        <w:t>功耗：整机耗电≤200mW（不含显示器背光耗电）</w:t>
      </w:r>
    </w:p>
    <w:p w14:paraId="2EFEA880">
      <w:pPr>
        <w:pStyle w:val="21"/>
        <w:numPr>
          <w:ilvl w:val="0"/>
          <w:numId w:val="3"/>
        </w:numPr>
        <w:ind w:firstLineChars="0"/>
        <w:rPr>
          <w:kern w:val="0"/>
        </w:rPr>
      </w:pPr>
      <w:r>
        <w:rPr>
          <w:kern w:val="0"/>
        </w:rPr>
        <w:t>工作时间：与主机共同使用，关闭蜂鸣器和背光灯状态下可持续工作24小时以上</w:t>
      </w:r>
    </w:p>
    <w:p w14:paraId="4233D005">
      <w:pPr>
        <w:pStyle w:val="21"/>
        <w:numPr>
          <w:ilvl w:val="0"/>
          <w:numId w:val="3"/>
        </w:numPr>
        <w:ind w:firstLineChars="0"/>
        <w:rPr>
          <w:kern w:val="0"/>
        </w:rPr>
      </w:pPr>
      <w:r>
        <w:rPr>
          <w:kern w:val="0"/>
        </w:rPr>
        <w:t>通讯接口：</w:t>
      </w:r>
      <w:r>
        <w:rPr>
          <w:rFonts w:hint="eastAsia"/>
          <w:kern w:val="0"/>
        </w:rPr>
        <w:t>RS-485/蓝牙（可选）</w:t>
      </w:r>
    </w:p>
    <w:p w14:paraId="669D68B0">
      <w:pPr>
        <w:pStyle w:val="2"/>
      </w:pPr>
      <w:bookmarkStart w:id="6" w:name="_Toc165732912"/>
      <w:r>
        <w:rPr>
          <w:rFonts w:hint="eastAsia"/>
        </w:rPr>
        <w:t>4</w:t>
      </w:r>
      <w:r>
        <w:t>、尺寸、重量</w:t>
      </w:r>
      <w:bookmarkEnd w:id="6"/>
    </w:p>
    <w:p w14:paraId="5497C7E1">
      <w:pPr>
        <w:pStyle w:val="21"/>
        <w:numPr>
          <w:ilvl w:val="0"/>
          <w:numId w:val="3"/>
        </w:numPr>
        <w:ind w:firstLineChars="0"/>
        <w:rPr>
          <w:kern w:val="0"/>
        </w:rPr>
      </w:pPr>
      <w:r>
        <w:rPr>
          <w:rFonts w:hint="eastAsia"/>
          <w:kern w:val="0"/>
        </w:rPr>
        <w:t>尺寸：</w:t>
      </w:r>
      <w:r>
        <w:rPr>
          <w:rFonts w:hint="eastAsia"/>
          <w:kern w:val="0"/>
          <w:lang w:val="en-US" w:eastAsia="zh-CN"/>
        </w:rPr>
        <w:t>330×125</w:t>
      </w:r>
      <w:r>
        <w:rPr>
          <w:rFonts w:hint="eastAsia"/>
          <w:kern w:val="0"/>
        </w:rPr>
        <w:t>mm（探头）</w:t>
      </w:r>
      <w:r>
        <w:rPr>
          <w:kern w:val="0"/>
        </w:rPr>
        <w:t>、170mm×80mm×30mm（主机）</w:t>
      </w:r>
    </w:p>
    <w:p w14:paraId="7129F517">
      <w:pPr>
        <w:pStyle w:val="21"/>
        <w:numPr>
          <w:ilvl w:val="0"/>
          <w:numId w:val="3"/>
        </w:numPr>
        <w:ind w:firstLineChars="0"/>
        <w:rPr>
          <w:kern w:val="0"/>
        </w:rPr>
      </w:pPr>
      <w:r>
        <w:rPr>
          <w:kern w:val="0"/>
        </w:rPr>
        <w:t>重量：</w:t>
      </w:r>
      <w:r>
        <w:rPr>
          <w:rFonts w:hint="eastAsia"/>
          <w:kern w:val="0"/>
          <w:lang w:val="en-US" w:eastAsia="zh-CN"/>
        </w:rPr>
        <w:t>11</w:t>
      </w:r>
      <w:r>
        <w:rPr>
          <w:rFonts w:hint="eastAsia"/>
          <w:kern w:val="0"/>
        </w:rPr>
        <w:t>50g</w:t>
      </w:r>
      <w:r>
        <w:rPr>
          <w:rFonts w:hint="eastAsia"/>
          <w:kern w:val="0"/>
          <w:lang w:eastAsia="zh-CN"/>
        </w:rPr>
        <w:t>（</w:t>
      </w:r>
      <w:r>
        <w:rPr>
          <w:rFonts w:hint="eastAsia"/>
          <w:kern w:val="0"/>
          <w:lang w:val="en-US" w:eastAsia="zh-CN"/>
        </w:rPr>
        <w:t>整机</w:t>
      </w:r>
      <w:r>
        <w:rPr>
          <w:rFonts w:hint="eastAsia"/>
          <w:kern w:val="0"/>
          <w:lang w:eastAsia="zh-CN"/>
        </w:rPr>
        <w:t>）</w:t>
      </w:r>
    </w:p>
    <w:p w14:paraId="5BB6ED51">
      <w:pPr>
        <w:pStyle w:val="2"/>
      </w:pPr>
      <w:bookmarkStart w:id="7" w:name="_Toc165732913"/>
      <w:r>
        <w:rPr>
          <w:rFonts w:hint="eastAsia"/>
        </w:rPr>
        <w:t>5</w:t>
      </w:r>
      <w:r>
        <w:t>、安装、调整</w:t>
      </w:r>
      <w:bookmarkEnd w:id="7"/>
    </w:p>
    <w:p w14:paraId="5C9090C1">
      <w:pPr>
        <w:ind w:firstLine="420" w:firstLineChars="200"/>
      </w:pPr>
      <w:r>
        <w:t>本仪器为手持仪器，只需要用附带的数据传输线进行连接，用户无需二次安装和调整。</w:t>
      </w:r>
    </w:p>
    <w:p w14:paraId="4F8FA8AE">
      <w:pPr>
        <w:pStyle w:val="2"/>
      </w:pPr>
      <w:bookmarkStart w:id="8" w:name="_Toc165732914"/>
      <w:r>
        <w:rPr>
          <w:rFonts w:hint="eastAsia"/>
        </w:rPr>
        <w:t>6</w:t>
      </w:r>
      <w:r>
        <w:t>、使用操作</w:t>
      </w:r>
      <w:bookmarkEnd w:id="8"/>
    </w:p>
    <w:p w14:paraId="321247FD">
      <w:pPr>
        <w:pStyle w:val="3"/>
      </w:pPr>
      <w:bookmarkStart w:id="9" w:name="_Toc165732915"/>
      <w:r>
        <w:t>6.1  按键定义</w:t>
      </w:r>
      <w:bookmarkEnd w:id="9"/>
    </w:p>
    <w:p w14:paraId="089A05BE">
      <w:pPr>
        <w:ind w:left="420" w:leftChars="200"/>
      </w:pPr>
      <w:r>
        <w:t>电源键：长按开机/关机；</w:t>
      </w:r>
    </w:p>
    <w:p w14:paraId="4A18C06C">
      <w:pPr>
        <w:ind w:left="420" w:leftChars="200"/>
      </w:pPr>
      <w:r>
        <w:rPr>
          <w:rFonts w:hint="eastAsia"/>
        </w:rPr>
        <w:t>OK</w:t>
      </w:r>
      <w:r>
        <w:t>键：a、进入下级菜单；b、选中当前功能菜单；</w:t>
      </w:r>
    </w:p>
    <w:p w14:paraId="32451593">
      <w:pPr>
        <w:ind w:left="420" w:leftChars="200"/>
      </w:pPr>
      <w:r>
        <w:rPr>
          <w:rFonts w:hint="eastAsia"/>
        </w:rPr>
        <w:t>左</w:t>
      </w:r>
      <w:r>
        <w:t>选择键：从下往上或从</w:t>
      </w:r>
      <w:r>
        <w:rPr>
          <w:rFonts w:hint="eastAsia"/>
        </w:rPr>
        <w:t>右</w:t>
      </w:r>
      <w:r>
        <w:t>往</w:t>
      </w:r>
      <w:r>
        <w:rPr>
          <w:rFonts w:hint="eastAsia"/>
        </w:rPr>
        <w:t>左</w:t>
      </w:r>
      <w:r>
        <w:t>选择功能菜单；</w:t>
      </w:r>
    </w:p>
    <w:p w14:paraId="24B160A6">
      <w:pPr>
        <w:ind w:left="420" w:leftChars="200"/>
      </w:pPr>
      <w:r>
        <w:rPr>
          <w:rFonts w:hint="eastAsia"/>
        </w:rPr>
        <w:t>右</w:t>
      </w:r>
      <w:r>
        <w:t>选择键：从上往下或从</w:t>
      </w:r>
      <w:r>
        <w:rPr>
          <w:rFonts w:hint="eastAsia"/>
        </w:rPr>
        <w:t>左</w:t>
      </w:r>
      <w:r>
        <w:t>往</w:t>
      </w:r>
      <w:r>
        <w:rPr>
          <w:rFonts w:hint="eastAsia"/>
        </w:rPr>
        <w:t>右</w:t>
      </w:r>
      <w:r>
        <w:t>选择功能菜单。</w:t>
      </w:r>
    </w:p>
    <w:p w14:paraId="4CF98D48">
      <w:pPr>
        <w:pStyle w:val="3"/>
      </w:pPr>
      <w:bookmarkStart w:id="10" w:name="_Toc165732916"/>
      <w:r>
        <w:t>6.2  开机检查和准备</w:t>
      </w:r>
      <w:bookmarkEnd w:id="10"/>
    </w:p>
    <w:p w14:paraId="4D279F71">
      <w:pPr>
        <w:ind w:firstLine="420" w:firstLineChars="200"/>
        <w:rPr>
          <w:sz w:val="18"/>
          <w:szCs w:val="18"/>
        </w:rPr>
      </w:pPr>
      <w:r>
        <w:t>开机前请先检查主机及配套探头外表面是否完好，连接件是否松动。检查后将探头连接到主机上，开机即可使用。</w:t>
      </w:r>
    </w:p>
    <w:p w14:paraId="51A3599B">
      <w:pPr>
        <w:pStyle w:val="3"/>
      </w:pPr>
      <w:bookmarkStart w:id="11" w:name="_Toc165732917"/>
      <w:r>
        <w:t>6.3  报警</w:t>
      </w:r>
      <w:bookmarkEnd w:id="11"/>
    </w:p>
    <w:p w14:paraId="4F8D43D8">
      <w:pPr>
        <w:ind w:firstLine="420" w:firstLineChars="200"/>
      </w:pPr>
      <w:r>
        <w:t>仪器采用声光报警方式，报警时状态为蜂鸣器响或报警灯亮，报警方式可去参数设置中设置；以下几种情况会产生报警：a、低电压报警；b、累积剂量超阈值报警；c、超过测量范围报警；d、剂量率报警。每种情况报警的声响和灯光闪烁频率都不一样，当发生报警时请注意观察实时测量的显示界面。低电压报警会在界面右上角显示图标</w:t>
      </w:r>
      <w:r>
        <w:rPr>
          <w:rFonts w:hint="eastAsia"/>
        </w:rPr>
        <w:t>“</w:t>
      </w:r>
      <w:r>
        <mc:AlternateContent>
          <mc:Choice Requires="wpg">
            <w:drawing>
              <wp:inline distT="0" distB="0" distL="0" distR="0">
                <wp:extent cx="225425" cy="90805"/>
                <wp:effectExtent l="14605" t="17780" r="7620" b="5715"/>
                <wp:docPr id="2033322398" name="Group 21"/>
                <wp:cNvGraphicFramePr/>
                <a:graphic xmlns:a="http://schemas.openxmlformats.org/drawingml/2006/main">
                  <a:graphicData uri="http://schemas.microsoft.com/office/word/2010/wordprocessingGroup">
                    <wpg:wgp>
                      <wpg:cNvGrpSpPr/>
                      <wpg:grpSpPr>
                        <a:xfrm>
                          <a:off x="0" y="0"/>
                          <a:ext cx="225425" cy="90805"/>
                          <a:chOff x="7538" y="6072"/>
                          <a:chExt cx="355" cy="143"/>
                        </a:xfrm>
                      </wpg:grpSpPr>
                      <wps:wsp>
                        <wps:cNvPr id="283085156" name="Rectangle 22"/>
                        <wps:cNvSpPr>
                          <a:spLocks noChangeArrowheads="1"/>
                        </wps:cNvSpPr>
                        <wps:spPr bwMode="auto">
                          <a:xfrm>
                            <a:off x="7540" y="6072"/>
                            <a:ext cx="35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06270107" name="Rectangle 23"/>
                        <wps:cNvSpPr>
                          <a:spLocks noChangeArrowheads="1"/>
                        </wps:cNvSpPr>
                        <wps:spPr bwMode="auto">
                          <a:xfrm>
                            <a:off x="7703" y="6072"/>
                            <a:ext cx="190" cy="143"/>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494794475" name="AutoShape 24"/>
                        <wps:cNvCnPr>
                          <a:cxnSpLocks noChangeShapeType="1"/>
                        </wps:cNvCnPr>
                        <wps:spPr bwMode="auto">
                          <a:xfrm>
                            <a:off x="7538" y="6075"/>
                            <a:ext cx="1" cy="123"/>
                          </a:xfrm>
                          <a:prstGeom prst="straightConnector1">
                            <a:avLst/>
                          </a:prstGeom>
                          <a:noFill/>
                          <a:ln w="25400">
                            <a:solidFill>
                              <a:srgbClr val="000000"/>
                            </a:solidFill>
                            <a:round/>
                          </a:ln>
                        </wps:spPr>
                        <wps:bodyPr/>
                      </wps:wsp>
                    </wpg:wgp>
                  </a:graphicData>
                </a:graphic>
              </wp:inline>
            </w:drawing>
          </mc:Choice>
          <mc:Fallback>
            <w:pict>
              <v:group id="Group 21" o:spid="_x0000_s1026" o:spt="203" style="height:7.15pt;width:17.75pt;" coordorigin="7538,6072" coordsize="355,143" o:gfxdata="UEsDBAoAAAAAAIdO4kAAAAAAAAAAAAAAAAAEAAAAZHJzL1BLAwQUAAAACACHTuJAyOYZQdMAAAAD&#10;AQAADwAAAGRycy9kb3ducmV2LnhtbE2PQUvDQBCF74L/YRnBm93EGJGYTZGinopgK4i3aXaahGZn&#10;Q3abtP/e0YteHgzv8d435fLkejXRGDrPBtJFAoq49rbjxsDH9uXmAVSIyBZ7z2TgTAGW1eVFiYX1&#10;M7/TtImNkhIOBRpoYxwKrUPdksOw8AOxeHs/Ooxyjo22I85S7np9myT32mHHstDiQKuW6sPm6Ay8&#10;zjg/ZenztD7sV+evbf72uU7JmOurNHkEFekU/8Lwgy/oUAnTzh/ZBtUbkEfir4qX5TmonWTuMtBV&#10;qf+zV99QSwMEFAAAAAgAh07iQOUVcJA3AwAALAoAAA4AAABkcnMvZTJvRG9jLnhtbO1WW2/bIBR+&#10;n7T/gHhffa8Tq25VpWs1aZdq7X4AsfFFs4EBidP9+h3ATtK0napO7dPy4AAHDud85+ODk7NN36E1&#10;larlLMfBkY8RZQUvW1bn+Mft5YcZRkoTVpKOM5rjO6rw2en7dyeDyGjIG96VVCJwwlQ2iBw3WovM&#10;81TR0J6oIy4oA2PFZU80dGXtlZIM4L3vvND3j72By1JIXlClYPTCGfHoUT7HIa+qtqAXvFj1lGnn&#10;VdKOaEhJNa1Q+NRGW1W00N+qSlGNuhxDptp+YRNoL83XOz0hWS2JaNpiDIE8J4SDnHrSMth06+qC&#10;aIJWsn3gqm8LyRWv9FHBe88lYhGBLAL/AJsryVfC5lJnQy22oEOhDlB/sdvi6/paorbMcehHURSG&#10;0Rzqz0gPlbfbozAwIA2izmDulRQ34lqOA7Xrmbw3lezNP2SENhbeuy28dKNRAYNhmMRhglEBprk/&#10;8xOHftFAicyiNIlgbzAe+2k42T6Oi6NkXBnEkbF5056eCW0bySCAlWoHlfo3qG4aIqitgDLpT1DN&#10;In+WBMnxhNR34BlhdUdRaAM3UcB0A5UBRYnPvPipEOOLBqbRcyn50FBSQnQWXchhb4HpKFiKlsMX&#10;XkIhyEpzy64DlNMkBh7fA2zCOkoiB/QhXCQTUukryntkGjmWELt1TtaflXbITlNs8Lxry8u262xH&#10;1stFJ9GawHm6tL+xGGp/WsfQADVOoNp/d+Hb32Mu+laDzHRtn+PZ/qSOQe0nhAwvVbbk5R2gJbk7&#10;3aBt0Gi4/I3RACc7x+rXikiKUfeJAeLzIDawaduJkzSEjty3LPcthBXgKscaI9dcaCcfKyHbuoGd&#10;Apsj4+dQpaq1CO6iGoMFSrpYX52bQewfhyloSfoIOe3JMcG9BTlTHyj4KDmDOUBuVOAVyfk0s/6T&#10;czoyb07OeB6n8zhOQcrdFWPOjNVYFMZGBUZuLpgTzmLDbg60086+vRMgi/ek0y0x658pnbu7ZryH&#10;JukMRm6G9++ZB8KptCRGARacMdBQLp0QPCGjjBsNhRRJ5ggIl6Hvv1ge4WXASifWTyqiMRtArPjY&#10;axIeETB275Wy37fzd4+80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I5hlB0wAAAAMBAAAPAAAA&#10;AAAAAAEAIAAAACIAAABkcnMvZG93bnJldi54bWxQSwECFAAUAAAACACHTuJA5RVwkDcDAAAsCgAA&#10;DgAAAAAAAAABACAAAAAiAQAAZHJzL2Uyb0RvYy54bWxQSwUGAAAAAAYABgBZAQAAywYAAAAA&#10;">
                <o:lock v:ext="edit" aspectratio="f"/>
                <v:rect id="Rectangle 22" o:spid="_x0000_s1026" o:spt="1" style="position:absolute;left:7540;top:6072;height:143;width:353;" fillcolor="#FFFFFF" filled="t" stroked="t" coordsize="21600,21600" o:gfxdata="UEsDBAoAAAAAAIdO4kAAAAAAAAAAAAAAAAAEAAAAZHJzL1BLAwQUAAAACACHTuJAjpivUsMAAADi&#10;AAAADwAAAGRycy9kb3ducmV2LnhtbEWPwW7CMBBE75X6D9ZW6q3YCQKlKYZDEag9QnLpbRtvk7Tx&#10;OooNBL6+RkLiOJqZN5rFarSdONLgW8cakokCQVw503KtoSw2LxkIH5ANdo5Jw5k8rJaPDwvMjTvx&#10;jo77UIsIYZ+jhiaEPpfSVw1Z9BPXE0fvxw0WQ5RDLc2Apwi3nUyVmkuLLceFBnt6b6j62x+shu82&#10;LfGyK7bKvm6m4XMsfg9fa62fnxL1BiLQGO7hW/vDaEizqcpmyWwO10vxDsj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mK9SwwAAAOI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ect id="Rectangle 23" o:spid="_x0000_s1026" o:spt="1" style="position:absolute;left:7703;top:6072;height:143;width:190;" fillcolor="#000000" filled="t" stroked="t" coordsize="21600,21600" o:gfxdata="UEsDBAoAAAAAAIdO4kAAAAAAAAAAAAAAAAAEAAAAZHJzL1BLAwQUAAAACACHTuJAwBhGGr4AAADj&#10;AAAADwAAAGRycy9kb3ducmV2LnhtbEVPzYrCMBC+L/gOYQQviyYtoks1Ci4I4mWx7gMMzdgWm0lp&#10;ou369GZB8Djf/6y3g23EnTpfO9aQzBQI4sKZmksNv+f99AuED8gGG8ek4Y88bDejjzVmxvV8onse&#10;ShFD2GeooQqhzaT0RUUW/cy1xJG7uM5iiGdXStNhH8NtI1OlFtJizbGhwpa+Kyqu+c1q2PV9ffl5&#10;5Px5LHfDMcX9GUOj9WScqBWIQEN4i1/ug4nz52qRLlWilvD/UwR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GGr4A&#10;AADj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AutoShape 24" o:spid="_x0000_s1026" o:spt="32" type="#_x0000_t32" style="position:absolute;left:7538;top:6075;height:123;width:1;" filled="f" stroked="t" coordsize="21600,21600" o:gfxdata="UEsDBAoAAAAAAIdO4kAAAAAAAAAAAAAAAAAEAAAAZHJzL1BLAwQUAAAACACHTuJAnD7aPcAAAADi&#10;AAAADwAAAGRycy9kb3ducmV2LnhtbEWPQYvCMBSE74L/ITzBm6aVut1WowdBKMIeVvsDHs3btti8&#10;lCZq/fdGEPY4zMw3zHY/mk7caXCtZQXxMgJBXFndcq2gvBwX3yCcR9bYWSYFT3Kw300nW8y1ffAv&#10;3c++FgHCLkcFjfd9LqWrGjLolrYnDt6fHQz6IIda6gEfAW46uYqiL2mw5bDQYE+Hhqrr+WYUpGVW&#10;leMlLg6FtyTXJ3z+jKjUfBZHGxCeRv8f/rQLrSDJkjRLknQN70vhDsjd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to9&#10;wAAAAOI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shape>
                <w10:wrap type="none"/>
                <w10:anchorlock/>
              </v:group>
            </w:pict>
          </mc:Fallback>
        </mc:AlternateContent>
      </w:r>
      <w:r>
        <w:rPr>
          <w:rFonts w:hint="eastAsia"/>
        </w:rPr>
        <w:t>”</w:t>
      </w:r>
      <w:r>
        <w:t>，正常时图标为</w:t>
      </w:r>
      <w:r>
        <w:rPr>
          <w:rFonts w:hint="eastAsia"/>
        </w:rPr>
        <w:t>“</w:t>
      </w:r>
      <w:r>
        <mc:AlternateContent>
          <mc:Choice Requires="wpg">
            <w:drawing>
              <wp:inline distT="0" distB="0" distL="0" distR="0">
                <wp:extent cx="234315" cy="92710"/>
                <wp:effectExtent l="14605" t="17780" r="8255" b="13335"/>
                <wp:docPr id="675165996" name="Group 18"/>
                <wp:cNvGraphicFramePr/>
                <a:graphic xmlns:a="http://schemas.openxmlformats.org/drawingml/2006/main">
                  <a:graphicData uri="http://schemas.microsoft.com/office/word/2010/wordprocessingGroup">
                    <wpg:wgp>
                      <wpg:cNvGrpSpPr/>
                      <wpg:grpSpPr>
                        <a:xfrm>
                          <a:off x="0" y="0"/>
                          <a:ext cx="234315" cy="92710"/>
                          <a:chOff x="4032" y="12898"/>
                          <a:chExt cx="369" cy="143"/>
                        </a:xfrm>
                      </wpg:grpSpPr>
                      <wps:wsp>
                        <wps:cNvPr id="986121223" name="Rectangle 19"/>
                        <wps:cNvSpPr>
                          <a:spLocks noChangeArrowheads="1"/>
                        </wps:cNvSpPr>
                        <wps:spPr bwMode="auto">
                          <a:xfrm>
                            <a:off x="4048" y="12898"/>
                            <a:ext cx="353" cy="143"/>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37899830" name="AutoShape 20"/>
                        <wps:cNvCnPr>
                          <a:cxnSpLocks noChangeShapeType="1"/>
                        </wps:cNvCnPr>
                        <wps:spPr bwMode="auto">
                          <a:xfrm>
                            <a:off x="4032" y="12901"/>
                            <a:ext cx="1" cy="123"/>
                          </a:xfrm>
                          <a:prstGeom prst="straightConnector1">
                            <a:avLst/>
                          </a:prstGeom>
                          <a:noFill/>
                          <a:ln w="25400">
                            <a:solidFill>
                              <a:srgbClr val="000000"/>
                            </a:solidFill>
                            <a:round/>
                          </a:ln>
                        </wps:spPr>
                        <wps:bodyPr/>
                      </wps:wsp>
                    </wpg:wgp>
                  </a:graphicData>
                </a:graphic>
              </wp:inline>
            </w:drawing>
          </mc:Choice>
          <mc:Fallback>
            <w:pict>
              <v:group id="Group 18" o:spid="_x0000_s1026" o:spt="203" style="height:7.3pt;width:18.45pt;" coordorigin="4032,12898" coordsize="369,143" o:gfxdata="UEsDBAoAAAAAAIdO4kAAAAAAAAAAAAAAAAAEAAAAZHJzL1BLAwQUAAAACACHTuJAmtGO3tQAAAAD&#10;AQAADwAAAGRycy9kb3ducmV2LnhtbE2PQUvDQBCF74L/YRnBm93EatCYTZGinorQVhBv0+w0Cc3O&#10;huw2af+9oxe9PBje471visXJdWqkIbSeDaSzBBRx5W3LtYGP7evNA6gQkS12nsnAmQIsysuLAnPr&#10;J17TuIm1khIOORpoYuxzrUPVkMMw8z2xeHs/OIxyDrW2A05S7jp9mySZdtiyLDTY07Kh6rA5OgNv&#10;E07P8/RlXB32y/PX9v79c5WSMddXafIEKtIp/oXhB1/QoRSmnT+yDaozII/EXxVvnj2C2knmLgNd&#10;Fvo/e/kNUEsDBBQAAAAIAIdO4kCfN+dkEAMAAJEHAAAOAAAAZHJzL2Uyb0RvYy54bWy1Vdtu2zAM&#10;fR+wfxD0vvqai406RZGuxYBuK9buAxRZvmC2pElKnOzrR0lOmqYoEHRYHhzJpKjDw0P68mrbd2jD&#10;lG4FL3B0EWLEOBVly+sC/3y6/TTHSBvCS9IJzgq8YxpfLT5+uBxkzmLRiK5kCkEQrvNBFrgxRuZB&#10;oGnDeqIvhGQcjJVQPTGwVXVQKjJA9L4L4jCcBoNQpVSCMq3h7Y034jGiOiegqKqWshtB1z3jxkdV&#10;rCMGUtJNKzVeOLRVxaj5XlWaGdQVGDI17gmXwHpln8HikuS1IrJp6QiBnAPhJKeetBwuPYS6IYag&#10;tWpfhepbqoQWlbmgog98Io4RyCIKT7i5U2ItXS51PtTyQDoU6oT1d4el3zYPCrVlgaezSTSdZNkU&#10;I056KLy7HUVzy9Eg6xxc75R8lA9qfFH7nU17W6ne/kNCaOvY3R3YZVuDKLyMkzSJJhhRMGXxLBrJ&#10;pw1UyB5KwyTGCIxRPM/crSSnzefxdDLN/NEoTSyiYH9pYLEdoAwSVKmfqdL/RtVjQyRzFdA2/5Gq&#10;bD6N4iiOkz1VP0BnhNcdQ1Hm6XLulivLipb3gv7SiItlA27sWikxNIyUgC5yyVjYEN8fsBsNR9Fq&#10;+CpKqARZG+HUdUJzGqbQrC8Z27OdTACdpfqUL5JLpc0dEz2yiwIrAO+ik829Np7avYtDL7q2vG27&#10;zm1UvVp2Cm2IbSj3G6uhj906jgao8iSeuMgvbPq8EH1rYM50bV/g+fE9HYfi7ymyytT5SpQ7oEsJ&#10;394w3GDRCPUHowFau8D695oohlH3hQPlWZSmdha4TTqZxbBRx5bVsYVwCqEKbDDyy6Xx82MtVVs3&#10;cFPkcuTiGspUtY7BZ1QjWNCkx/rfxTlPZvMsmyeQlO9jC8vpGEGirnWd1pbci5Nu+eOJPp33006C&#10;9F7I0x/Zc3+GPA8NnYUuEMn38oxGcUIPHTfzK3Fqo4hleSk4B50K5cl+Q6pcWJ1CQJJ7BcaTNAzf&#10;LUEYv7z08N5UnTVbRlyB3SyCSe3G0/hVsZ+C473zf/6SLv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mtGO3tQAAAADAQAADwAAAAAAAAABACAAAAAiAAAAZHJzL2Rvd25yZXYueG1sUEsBAhQAFAAA&#10;AAgAh07iQJ8352QQAwAAkQcAAA4AAAAAAAAAAQAgAAAAIwEAAGRycy9lMm9Eb2MueG1sUEsFBgAA&#10;AAAGAAYAWQEAAKUGAAAAAA==&#10;">
                <o:lock v:ext="edit" aspectratio="f"/>
                <v:rect id="Rectangle 19" o:spid="_x0000_s1026" o:spt="1" style="position:absolute;left:4048;top:12898;height:143;width:353;" fillcolor="#000000" filled="t" stroked="t" coordsize="21600,21600" o:gfxdata="UEsDBAoAAAAAAIdO4kAAAAAAAAAAAAAAAAAEAAAAZHJzL1BLAwQUAAAACACHTuJAu3Kn3MEAAADi&#10;AAAADwAAAGRycy9kb3ducmV2LnhtbEWP0YrCMBRE34X9h3AFX2RNmwXRrlFQEMQX2eoHXJprW2xu&#10;SpO11a83wsI+DjNzhlltBtuIO3W+dqwhnSUgiAtnai41XM77zwUIH5ANNo5Jw4M8bNYfoxVmxvX8&#10;Q/c8lCJC2GeooQqhzaT0RUUW/cy1xNG7us5iiLIrpemwj3DbSJUkc2mx5rhQYUu7iopb/ms1bPu+&#10;vp6eOU+P5XY4KtyfMTRaT8Zp8g0i0BD+w3/tg9GwXMxTlSr1Be9L8Q7I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3Kn&#10;3MEAAADi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rect>
                <v:shape id="AutoShape 20" o:spid="_x0000_s1026" o:spt="32" type="#_x0000_t32" style="position:absolute;left:4032;top:12901;height:123;width:1;" filled="f" stroked="t" coordsize="21600,21600" o:gfxdata="UEsDBAoAAAAAAIdO4kAAAAAAAAAAAAAAAAAEAAAAZHJzL1BLAwQUAAAACACHTuJAEwgcMcAAAADi&#10;AAAADwAAAGRycy9kb3ducmV2LnhtbEWPy2qDQBSG94W+w3AK3SWjlSZqnWQhFKTQRRIf4OCcqNQ5&#10;I87Uy9t3FoEuf/4bX3FezSBmmlxvWUG8j0AQN1b33Cqob5+7FITzyBoHy6RgIwfn0/NTgbm2C19o&#10;vvpWhBF2OSrovB9zKV3TkUG3tyNx8O52MuiDnFqpJ1zCuBnkWxQdpMGew0OHI5UdNT/XX6PgWGdN&#10;vd7iqqy8Jfn+hdv3ikq9vsTRBwhPq/8PP9qVVpAmxzTL0iRABKSAA/L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Bwx&#10;wAAAAOI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shape>
                <w10:wrap type="none"/>
                <w10:anchorlock/>
              </v:group>
            </w:pict>
          </mc:Fallback>
        </mc:AlternateContent>
      </w:r>
      <w:r>
        <w:rPr>
          <w:rFonts w:hint="eastAsia"/>
        </w:rPr>
        <w:t>”</w:t>
      </w:r>
      <w:r>
        <w:t>。</w:t>
      </w:r>
    </w:p>
    <w:p w14:paraId="44FBCE85">
      <w:pPr>
        <w:pStyle w:val="3"/>
        <w:rPr>
          <w:color w:val="FF0000"/>
        </w:rPr>
      </w:pPr>
      <w:bookmarkStart w:id="12" w:name="_Toc165732918"/>
      <w:r>
        <w:t>6.4  开机/关机</w:t>
      </w:r>
      <w:bookmarkEnd w:id="12"/>
    </w:p>
    <w:p w14:paraId="41665406">
      <w:pPr>
        <w:ind w:firstLine="420" w:firstLineChars="200"/>
      </w:pPr>
      <w:r>
        <w:t>开机：长按仪表电源键，听到蜂鸣器发出</w:t>
      </w:r>
      <w:r>
        <w:rPr>
          <w:rFonts w:hint="eastAsia"/>
        </w:rPr>
        <w:t>“</w:t>
      </w:r>
      <w:r>
        <w:t>滴</w:t>
      </w:r>
      <w:r>
        <w:rPr>
          <w:rFonts w:hint="eastAsia"/>
        </w:rPr>
        <w:t>”</w:t>
      </w:r>
      <w:r>
        <w:t>声，报警灯闪烁一次，等液晶屏幕显示出主菜单即可进行操作；</w:t>
      </w:r>
    </w:p>
    <w:p w14:paraId="718D7434">
      <w:pPr>
        <w:ind w:firstLine="420" w:firstLineChars="200"/>
      </w:pPr>
      <w:r>
        <w:t>关机：正常使用后长按电源键，即可关闭仪表电源。</w:t>
      </w:r>
    </w:p>
    <w:p w14:paraId="573C2E39">
      <w:pPr>
        <w:pStyle w:val="2"/>
      </w:pPr>
      <w:bookmarkStart w:id="13" w:name="_Toc165732919"/>
      <w:r>
        <w:rPr>
          <w:rFonts w:hint="eastAsia"/>
        </w:rPr>
        <w:t>7</w:t>
      </w:r>
      <w:r>
        <w:t>、</w:t>
      </w:r>
      <w:bookmarkStart w:id="14" w:name="_Toc533750319"/>
      <w:r>
        <w:t>操作向导</w:t>
      </w:r>
      <w:bookmarkEnd w:id="13"/>
      <w:bookmarkEnd w:id="14"/>
    </w:p>
    <w:p w14:paraId="20DA11D7">
      <w:pPr>
        <w:pStyle w:val="3"/>
      </w:pPr>
      <w:bookmarkStart w:id="15" w:name="_Toc165732920"/>
      <w:r>
        <w:t>7.1</w:t>
      </w:r>
      <w:r>
        <w:rPr>
          <w:rFonts w:hint="eastAsia"/>
        </w:rPr>
        <w:t xml:space="preserve">  开机</w:t>
      </w:r>
      <w:bookmarkEnd w:id="15"/>
    </w:p>
    <w:p w14:paraId="4A7C1C3F">
      <w:pPr>
        <w:ind w:firstLine="420" w:firstLineChars="200"/>
        <w:rPr>
          <w:lang w:val="zh-CN"/>
        </w:rPr>
      </w:pPr>
      <w:r>
        <w:rPr>
          <w:lang w:val="zh-CN"/>
        </w:rPr>
        <w:t>按</w:t>
      </w:r>
      <w:r>
        <w:rPr>
          <w:rFonts w:hint="eastAsia"/>
          <w:lang w:val="zh-CN"/>
        </w:rPr>
        <w:t>“</w:t>
      </w:r>
      <w:r>
        <w:rPr>
          <w:lang w:val="zh-CN"/>
        </w:rPr>
        <w:t>电源键</w:t>
      </w:r>
      <w:r>
        <w:rPr>
          <w:rFonts w:hint="eastAsia"/>
          <w:lang w:val="zh-CN"/>
        </w:rPr>
        <w:t>”</w:t>
      </w:r>
      <w:r>
        <w:rPr>
          <w:lang w:val="zh-CN"/>
        </w:rPr>
        <w:t>开机。</w:t>
      </w:r>
    </w:p>
    <w:p w14:paraId="2DB4B8E3">
      <w:pPr>
        <w:pStyle w:val="3"/>
      </w:pPr>
      <w:bookmarkStart w:id="16" w:name="_Toc165732921"/>
      <w:r>
        <w:t>7.</w:t>
      </w:r>
      <w:r>
        <w:rPr>
          <w:rFonts w:hint="eastAsia"/>
        </w:rPr>
        <w:t>2  主界面</w:t>
      </w:r>
      <w:bookmarkEnd w:id="16"/>
    </w:p>
    <w:p w14:paraId="541B22E1">
      <w:pPr>
        <w:ind w:firstLine="420" w:firstLineChars="200"/>
      </w:pPr>
      <w:r>
        <w:rPr>
          <w:rFonts w:hint="eastAsia"/>
        </w:rPr>
        <w:t>探头测量数据显示主界面如图1所示：</w:t>
      </w:r>
    </w:p>
    <w:p w14:paraId="07567784">
      <w:pPr>
        <w:ind w:firstLine="420" w:firstLineChars="200"/>
        <w:contextualSpacing/>
        <w:jc w:val="center"/>
        <w:rPr>
          <w:szCs w:val="21"/>
          <w:lang w:val="zh-CN"/>
        </w:rPr>
      </w:pPr>
      <w:r>
        <w:drawing>
          <wp:inline distT="0" distB="0" distL="114300" distR="114300">
            <wp:extent cx="4080510" cy="321564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23"/>
                    <a:stretch>
                      <a:fillRect/>
                    </a:stretch>
                  </pic:blipFill>
                  <pic:spPr>
                    <a:xfrm>
                      <a:off x="0" y="0"/>
                      <a:ext cx="4088990" cy="3222449"/>
                    </a:xfrm>
                    <a:prstGeom prst="rect">
                      <a:avLst/>
                    </a:prstGeom>
                    <a:noFill/>
                    <a:ln>
                      <a:noFill/>
                    </a:ln>
                  </pic:spPr>
                </pic:pic>
              </a:graphicData>
            </a:graphic>
          </wp:inline>
        </w:drawing>
      </w:r>
    </w:p>
    <w:p w14:paraId="0C76B022">
      <w:pPr>
        <w:pStyle w:val="21"/>
        <w:spacing w:after="156" w:afterLines="50"/>
        <w:ind w:firstLine="0" w:firstLineChars="0"/>
        <w:contextualSpacing/>
        <w:jc w:val="center"/>
        <w:rPr>
          <w:sz w:val="18"/>
          <w:szCs w:val="18"/>
          <w:lang w:val="zh-CN"/>
        </w:rPr>
      </w:pPr>
      <w:r>
        <w:rPr>
          <w:rFonts w:hint="eastAsia"/>
          <w:sz w:val="18"/>
          <w:szCs w:val="18"/>
          <w:lang w:val="zh-CN"/>
        </w:rPr>
        <w:t>（</w:t>
      </w:r>
      <w:r>
        <w:rPr>
          <w:sz w:val="18"/>
          <w:szCs w:val="18"/>
          <w:lang w:val="zh-CN"/>
        </w:rPr>
        <w:t>图</w:t>
      </w:r>
      <w:r>
        <w:rPr>
          <w:rFonts w:hint="eastAsia"/>
          <w:sz w:val="18"/>
          <w:szCs w:val="18"/>
          <w:lang w:val="zh-CN"/>
        </w:rPr>
        <w:t>1）  主界面</w:t>
      </w:r>
    </w:p>
    <w:p w14:paraId="66D731D7">
      <w:pPr>
        <w:rPr>
          <w:lang w:val="zh-CN"/>
        </w:rPr>
      </w:pPr>
      <w:r>
        <w:rPr>
          <w:lang w:val="zh-CN"/>
        </w:rPr>
        <w:drawing>
          <wp:anchor distT="0" distB="0" distL="114300" distR="114300" simplePos="0" relativeHeight="251660288" behindDoc="0" locked="0" layoutInCell="1" allowOverlap="1">
            <wp:simplePos x="0" y="0"/>
            <wp:positionH relativeFrom="column">
              <wp:posOffset>4732655</wp:posOffset>
            </wp:positionH>
            <wp:positionV relativeFrom="paragraph">
              <wp:posOffset>240030</wp:posOffset>
            </wp:positionV>
            <wp:extent cx="250190" cy="255905"/>
            <wp:effectExtent l="0" t="0" r="0" b="0"/>
            <wp:wrapNone/>
            <wp:docPr id="6528409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40984"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0190" cy="255905"/>
                    </a:xfrm>
                    <a:prstGeom prst="rect">
                      <a:avLst/>
                    </a:prstGeom>
                    <a:noFill/>
                  </pic:spPr>
                </pic:pic>
              </a:graphicData>
            </a:graphic>
          </wp:anchor>
        </w:drawing>
      </w:r>
      <w:r>
        <w:rPr>
          <w:rFonts w:hint="eastAsia" w:ascii="宋体" w:hAnsi="宋体"/>
          <w:lang w:val="zh-CN"/>
        </w:rPr>
        <w:t>①</w:t>
      </w:r>
      <w:r>
        <w:rPr>
          <w:rFonts w:hint="eastAsia"/>
          <w:lang w:val="zh-CN"/>
        </w:rPr>
        <w:t>、状态显示栏：</w:t>
      </w:r>
    </w:p>
    <w:p w14:paraId="10C9C5D5">
      <w:pPr>
        <w:ind w:firstLine="420" w:firstLineChars="200"/>
        <w:rPr>
          <w:lang w:val="zh-CN"/>
        </w:rPr>
      </w:pPr>
      <w:r>
        <w:rPr>
          <w:rFonts w:hint="eastAsia"/>
          <w:lang w:val="zh-CN"/>
        </w:rPr>
        <w:t>图标连接时显示黑色，未连接时显示浅灰色。其中报警关闭时显示类似这种      关闭图标。蓝牙连接时显示蓝色，未连接时显示浅灰色。</w:t>
      </w:r>
    </w:p>
    <w:p w14:paraId="6462A343">
      <w:pPr>
        <w:rPr>
          <w:lang w:val="zh-CN"/>
        </w:rPr>
      </w:pPr>
      <w:r>
        <w:rPr>
          <w:rFonts w:hint="eastAsia" w:ascii="宋体" w:hAnsi="宋体"/>
          <w:lang w:val="zh-CN"/>
        </w:rPr>
        <w:t>②</w:t>
      </w:r>
      <w:r>
        <w:rPr>
          <w:rFonts w:hint="eastAsia"/>
          <w:lang w:val="zh-CN"/>
        </w:rPr>
        <w:t>、时间、电量显示：</w:t>
      </w:r>
    </w:p>
    <w:p w14:paraId="3E4546EA">
      <w:pPr>
        <w:ind w:firstLine="420" w:firstLineChars="200"/>
        <w:rPr>
          <w:lang w:val="zh-CN"/>
        </w:rPr>
      </w:pPr>
      <w:r>
        <w:rPr>
          <w:rFonts w:hint="eastAsia"/>
          <w:lang w:val="zh-CN"/>
        </w:rPr>
        <w:t>电池按这种格式，电量只有1/4时显示红色并报警提示，当连续低于3.</w:t>
      </w:r>
      <w:r>
        <w:rPr>
          <w:lang w:val="zh-CN"/>
        </w:rPr>
        <w:t xml:space="preserve"> </w:t>
      </w:r>
      <w:r>
        <w:rPr>
          <w:rFonts w:hint="eastAsia"/>
          <w:lang w:val="zh-CN"/>
        </w:rPr>
        <w:t>3V 2分钟自动关机。时间按照24小时计时法进行显示。</w:t>
      </w:r>
    </w:p>
    <w:p w14:paraId="29E8C4E4">
      <w:pPr>
        <w:rPr>
          <w:lang w:val="zh-CN"/>
        </w:rPr>
      </w:pPr>
      <w:r>
        <w:rPr>
          <w:rFonts w:hint="eastAsia" w:ascii="宋体" w:hAnsi="宋体"/>
          <w:lang w:val="zh-CN"/>
        </w:rPr>
        <w:t>③</w:t>
      </w:r>
      <w:r>
        <w:rPr>
          <w:rFonts w:hint="eastAsia"/>
          <w:lang w:val="zh-CN"/>
        </w:rPr>
        <w:t>、探测器连接状态显示：</w:t>
      </w:r>
    </w:p>
    <w:p w14:paraId="0AE266C9">
      <w:pPr>
        <w:ind w:firstLine="420" w:firstLineChars="200"/>
        <w:rPr>
          <w:lang w:val="zh-CN"/>
        </w:rPr>
      </w:pPr>
      <w:r>
        <w:rPr>
          <w:rFonts w:hint="eastAsia"/>
          <w:lang w:val="zh-CN"/>
        </w:rPr>
        <w:t>此处为不同类型显示，绿色单路，红色双路显示：</w:t>
      </w:r>
    </w:p>
    <w:p w14:paraId="288F869D">
      <w:pPr>
        <w:pStyle w:val="21"/>
        <w:numPr>
          <w:ilvl w:val="0"/>
          <w:numId w:val="4"/>
        </w:numPr>
        <w:ind w:firstLineChars="0"/>
        <w:rPr>
          <w:lang w:val="zh-CN"/>
        </w:rPr>
      </w:pPr>
      <w:r>
        <w:rPr>
          <w:rFonts w:hint="eastAsia"/>
          <w:lang w:val="zh-CN"/>
        </w:rPr>
        <w:t>SNG-20，主机内部中子、γ双路剂量率探头(nγ) ；</w:t>
      </w:r>
    </w:p>
    <w:p w14:paraId="59767942">
      <w:pPr>
        <w:pStyle w:val="21"/>
        <w:numPr>
          <w:ilvl w:val="0"/>
          <w:numId w:val="4"/>
        </w:numPr>
        <w:ind w:firstLineChars="0"/>
        <w:rPr>
          <w:lang w:val="zh-CN"/>
        </w:rPr>
      </w:pPr>
      <w:r>
        <w:rPr>
          <w:rFonts w:hint="eastAsia"/>
          <w:lang w:val="zh-CN"/>
        </w:rPr>
        <w:t>SG-IGM，主机内部GM γ剂量率探头(Xγ)；</w:t>
      </w:r>
    </w:p>
    <w:p w14:paraId="08C9B631">
      <w:pPr>
        <w:pStyle w:val="21"/>
        <w:numPr>
          <w:ilvl w:val="0"/>
          <w:numId w:val="4"/>
        </w:numPr>
        <w:ind w:firstLineChars="0"/>
        <w:rPr>
          <w:lang w:val="zh-CN"/>
        </w:rPr>
      </w:pPr>
      <w:r>
        <w:rPr>
          <w:rFonts w:hint="eastAsia"/>
          <w:lang w:val="zh-CN"/>
        </w:rPr>
        <w:t>SAB-170，外部170cm2面积的αβ探头；</w:t>
      </w:r>
    </w:p>
    <w:p w14:paraId="12981140">
      <w:pPr>
        <w:pStyle w:val="21"/>
        <w:numPr>
          <w:ilvl w:val="0"/>
          <w:numId w:val="4"/>
        </w:numPr>
        <w:ind w:firstLineChars="0"/>
        <w:rPr>
          <w:lang w:val="zh-CN"/>
        </w:rPr>
      </w:pPr>
      <w:r>
        <w:rPr>
          <w:rFonts w:hint="eastAsia"/>
          <w:lang w:val="zh-CN"/>
        </w:rPr>
        <w:t>SAB-100，外部100cm2面积的αβ探头；</w:t>
      </w:r>
    </w:p>
    <w:p w14:paraId="56427605">
      <w:pPr>
        <w:pStyle w:val="21"/>
        <w:numPr>
          <w:ilvl w:val="0"/>
          <w:numId w:val="4"/>
        </w:numPr>
        <w:ind w:firstLineChars="0"/>
        <w:rPr>
          <w:lang w:val="zh-CN"/>
        </w:rPr>
      </w:pPr>
      <w:r>
        <w:rPr>
          <w:rFonts w:hint="eastAsia"/>
          <w:lang w:val="zh-CN"/>
        </w:rPr>
        <w:t>SABG-50，外部小面积αβγ探头(αβγ) ；</w:t>
      </w:r>
    </w:p>
    <w:p w14:paraId="4223B3DA">
      <w:pPr>
        <w:pStyle w:val="21"/>
        <w:numPr>
          <w:ilvl w:val="0"/>
          <w:numId w:val="4"/>
        </w:numPr>
        <w:ind w:firstLineChars="0"/>
        <w:rPr>
          <w:lang w:val="zh-CN"/>
        </w:rPr>
      </w:pPr>
      <w:r>
        <w:rPr>
          <w:rFonts w:hint="eastAsia"/>
          <w:lang w:val="zh-CN"/>
        </w:rPr>
        <w:t>SG-NaI，外部NaI γ剂量率探头(Xγ) ；</w:t>
      </w:r>
    </w:p>
    <w:p w14:paraId="669A8574">
      <w:pPr>
        <w:pStyle w:val="21"/>
        <w:numPr>
          <w:ilvl w:val="0"/>
          <w:numId w:val="4"/>
        </w:numPr>
        <w:ind w:firstLineChars="0"/>
        <w:rPr>
          <w:lang w:val="zh-CN"/>
        </w:rPr>
      </w:pPr>
      <w:r>
        <w:rPr>
          <w:rFonts w:hint="eastAsia"/>
          <w:lang w:val="zh-CN"/>
        </w:rPr>
        <w:t>SG-EGM，外部GM γ剂量率探头(Xγ) ；</w:t>
      </w:r>
    </w:p>
    <w:p w14:paraId="78BACAE8">
      <w:pPr>
        <w:pStyle w:val="21"/>
        <w:numPr>
          <w:ilvl w:val="0"/>
          <w:numId w:val="4"/>
        </w:numPr>
        <w:ind w:firstLineChars="0"/>
        <w:rPr>
          <w:lang w:val="zh-CN"/>
        </w:rPr>
      </w:pPr>
      <w:r>
        <w:rPr>
          <w:rFonts w:hint="eastAsia"/>
          <w:lang w:val="zh-CN"/>
        </w:rPr>
        <w:t>SG-75，外部直径75的塑闪γ剂量率探头(Xγ) ；</w:t>
      </w:r>
    </w:p>
    <w:p w14:paraId="10F536F5">
      <w:pPr>
        <w:pStyle w:val="21"/>
        <w:numPr>
          <w:ilvl w:val="0"/>
          <w:numId w:val="4"/>
        </w:numPr>
        <w:ind w:firstLineChars="0"/>
        <w:rPr>
          <w:lang w:val="zh-CN"/>
        </w:rPr>
      </w:pPr>
      <w:r>
        <w:rPr>
          <w:rFonts w:hint="eastAsia"/>
          <w:lang w:val="zh-CN"/>
        </w:rPr>
        <w:t>SG-LGM，外部长杆GM γ剂量率探头(Xγ) ；</w:t>
      </w:r>
    </w:p>
    <w:p w14:paraId="252A74D1">
      <w:pPr>
        <w:pStyle w:val="21"/>
        <w:numPr>
          <w:ilvl w:val="0"/>
          <w:numId w:val="4"/>
        </w:numPr>
        <w:ind w:firstLineChars="0"/>
        <w:rPr>
          <w:lang w:val="zh-CN"/>
        </w:rPr>
      </w:pPr>
      <w:r>
        <w:rPr>
          <w:rFonts w:hint="eastAsia"/>
          <w:lang w:val="zh-CN"/>
        </w:rPr>
        <w:t>SG-WGM，外部水下GM γ剂量率探头(Xγ) ；</w:t>
      </w:r>
    </w:p>
    <w:p w14:paraId="1BE3551C">
      <w:pPr>
        <w:pStyle w:val="21"/>
        <w:numPr>
          <w:ilvl w:val="0"/>
          <w:numId w:val="4"/>
        </w:numPr>
        <w:ind w:firstLineChars="0"/>
        <w:rPr>
          <w:lang w:val="zh-CN"/>
        </w:rPr>
      </w:pPr>
      <w:r>
        <w:rPr>
          <w:rFonts w:hint="eastAsia"/>
          <w:lang w:val="zh-CN"/>
        </w:rPr>
        <w:t>SN-10，外部He3管中子剂量率探头(n)。</w:t>
      </w:r>
    </w:p>
    <w:p w14:paraId="709AD526">
      <w:pPr>
        <w:rPr>
          <w:lang w:val="zh-CN"/>
        </w:rPr>
      </w:pPr>
      <w:r>
        <w:rPr>
          <w:rFonts w:hint="eastAsia" w:ascii="宋体" w:hAnsi="宋体"/>
          <w:lang w:val="zh-CN"/>
        </w:rPr>
        <w:t>④</w:t>
      </w:r>
      <w:r>
        <w:rPr>
          <w:rFonts w:hint="eastAsia"/>
          <w:lang w:val="zh-CN"/>
        </w:rPr>
        <w:t>：温度显示：</w:t>
      </w:r>
    </w:p>
    <w:p w14:paraId="40861815">
      <w:pPr>
        <w:ind w:firstLine="420" w:firstLineChars="200"/>
        <w:rPr>
          <w:lang w:val="zh-CN"/>
        </w:rPr>
      </w:pPr>
      <w:r>
        <w:rPr>
          <w:rFonts w:hint="eastAsia"/>
          <w:lang w:val="zh-CN"/>
        </w:rPr>
        <w:t>显示探测器内部温度用于进行温度补偿。</w:t>
      </w:r>
    </w:p>
    <w:p w14:paraId="07DBCFD6">
      <w:pPr>
        <w:rPr>
          <w:lang w:val="zh-CN"/>
        </w:rPr>
      </w:pPr>
      <w:r>
        <w:rPr>
          <w:rFonts w:hint="eastAsia" w:ascii="宋体" w:hAnsi="宋体"/>
          <w:lang w:val="zh-CN"/>
        </w:rPr>
        <w:t>⑤</w:t>
      </w:r>
      <w:r>
        <w:rPr>
          <w:rFonts w:hint="eastAsia"/>
          <w:lang w:val="zh-CN"/>
        </w:rPr>
        <w:t>：测量模式状态：</w:t>
      </w:r>
    </w:p>
    <w:p w14:paraId="52E8A8DB">
      <w:pPr>
        <w:rPr>
          <w:lang w:val="zh-CN"/>
        </w:rPr>
      </w:pPr>
      <w:r>
        <w:rPr>
          <w:rFonts w:hint="eastAsia"/>
          <w:lang w:val="zh-CN"/>
        </w:rPr>
        <w:t xml:space="preserve">   4种模式有两种类型，分别为：</w:t>
      </w:r>
    </w:p>
    <w:p w14:paraId="43375DE5">
      <w:pPr>
        <w:ind w:firstLine="420" w:firstLineChars="200"/>
        <w:rPr>
          <w:lang w:val="zh-CN"/>
        </w:rPr>
      </w:pPr>
      <w:r>
        <w:rPr>
          <w:rFonts w:hint="eastAsia"/>
          <w:lang w:val="zh-CN"/>
        </w:rPr>
        <w:t>1、Rate（剂量率）、Peak（峰值）、Dose（累积剂量）、Average（平均值）；</w:t>
      </w:r>
    </w:p>
    <w:p w14:paraId="26230993">
      <w:pPr>
        <w:ind w:firstLine="420" w:firstLineChars="200"/>
        <w:rPr>
          <w:lang w:val="zh-CN"/>
        </w:rPr>
      </w:pPr>
      <w:r>
        <w:rPr>
          <w:rFonts w:hint="eastAsia"/>
          <w:lang w:val="zh-CN"/>
        </w:rPr>
        <w:t>2、Gross（总计数率）、 Peak（峰值）、Net（净计数率）、Average（平均值）。</w:t>
      </w:r>
    </w:p>
    <w:p w14:paraId="180314DF">
      <w:pPr>
        <w:rPr>
          <w:lang w:val="zh-CN"/>
        </w:rPr>
      </w:pPr>
      <w:r>
        <w:rPr>
          <w:rFonts w:hint="eastAsia" w:ascii="宋体" w:hAnsi="宋体"/>
          <w:lang w:val="zh-CN"/>
        </w:rPr>
        <w:t>⑥</w:t>
      </w:r>
      <w:r>
        <w:rPr>
          <w:rFonts w:hint="eastAsia"/>
          <w:lang w:val="zh-CN"/>
        </w:rPr>
        <w:t>：测量数据显示：</w:t>
      </w:r>
    </w:p>
    <w:p w14:paraId="447B1F22">
      <w:pPr>
        <w:ind w:firstLine="420" w:firstLineChars="200"/>
        <w:rPr>
          <w:lang w:val="zh-CN"/>
        </w:rPr>
      </w:pPr>
      <w:r>
        <w:rPr>
          <w:rFonts w:hint="eastAsia"/>
          <w:lang w:val="zh-CN"/>
        </w:rPr>
        <w:t>显示实时测量数据，数据实时显示三位，超过三位会自动进行单位切换换算；</w:t>
      </w:r>
    </w:p>
    <w:p w14:paraId="71D19BE9">
      <w:pPr>
        <w:rPr>
          <w:lang w:val="zh-CN"/>
        </w:rPr>
      </w:pPr>
      <w:r>
        <w:rPr>
          <w:rFonts w:hint="eastAsia" w:ascii="宋体" w:hAnsi="宋体"/>
          <w:lang w:val="zh-CN"/>
        </w:rPr>
        <w:t>⑦</w:t>
      </w:r>
      <w:r>
        <w:rPr>
          <w:rFonts w:hint="eastAsia"/>
          <w:lang w:val="zh-CN"/>
        </w:rPr>
        <w:t>：探测射线类型显示</w:t>
      </w:r>
    </w:p>
    <w:p w14:paraId="1723EB1C">
      <w:pPr>
        <w:ind w:firstLine="420" w:firstLineChars="200"/>
        <w:rPr>
          <w:lang w:val="zh-CN"/>
        </w:rPr>
      </w:pPr>
      <w:r>
        <w:rPr>
          <w:rFonts w:hint="eastAsia"/>
          <w:lang w:val="zh-CN"/>
        </w:rPr>
        <w:t>这几种X、γ测量探头单路显示：Xγ ；</w:t>
      </w:r>
    </w:p>
    <w:p w14:paraId="0124BCF5">
      <w:pPr>
        <w:ind w:firstLine="420" w:firstLineChars="200"/>
        <w:rPr>
          <w:lang w:val="zh-CN"/>
        </w:rPr>
      </w:pPr>
      <w:r>
        <w:rPr>
          <w:rFonts w:hint="eastAsia"/>
          <w:lang w:val="zh-CN"/>
        </w:rPr>
        <w:t>多功能探头单路显示：αβγ ；</w:t>
      </w:r>
    </w:p>
    <w:p w14:paraId="24BE044D">
      <w:pPr>
        <w:ind w:firstLine="420" w:firstLineChars="200"/>
        <w:rPr>
          <w:lang w:val="zh-CN"/>
        </w:rPr>
      </w:pPr>
      <w:r>
        <w:rPr>
          <w:rFonts w:hint="eastAsia"/>
          <w:lang w:val="zh-CN"/>
        </w:rPr>
        <w:t>中子探头单路显示：n</w:t>
      </w:r>
    </w:p>
    <w:p w14:paraId="5F441C09">
      <w:pPr>
        <w:ind w:firstLine="420" w:firstLineChars="200"/>
        <w:rPr>
          <w:lang w:val="zh-CN"/>
        </w:rPr>
      </w:pPr>
      <w:r>
        <w:rPr>
          <w:rFonts w:hint="eastAsia"/>
          <w:lang w:val="zh-CN"/>
        </w:rPr>
        <w:t>中子γ探头双路显示：一路显示n，一路显示γ。</w:t>
      </w:r>
    </w:p>
    <w:p w14:paraId="40357E2B">
      <w:pPr>
        <w:ind w:firstLine="420" w:firstLineChars="200"/>
        <w:rPr>
          <w:lang w:val="zh-CN"/>
        </w:rPr>
      </w:pPr>
      <w:r>
        <w:rPr>
          <w:rFonts w:hint="eastAsia"/>
          <w:lang w:val="zh-CN"/>
        </w:rPr>
        <w:t>表污探头为双路显示：一路显示α，一路显示β。</w:t>
      </w:r>
    </w:p>
    <w:p w14:paraId="1F19F929">
      <w:pPr>
        <w:rPr>
          <w:lang w:val="zh-CN"/>
        </w:rPr>
      </w:pPr>
      <w:r>
        <w:rPr>
          <w:rFonts w:hint="eastAsia" w:ascii="宋体" w:hAnsi="宋体"/>
          <w:lang w:val="zh-CN"/>
        </w:rPr>
        <w:t>⑧</w:t>
      </w:r>
      <w:r>
        <w:rPr>
          <w:rFonts w:hint="eastAsia"/>
          <w:lang w:val="zh-CN"/>
        </w:rPr>
        <w:t>：测量标尺</w:t>
      </w:r>
    </w:p>
    <w:p w14:paraId="2F2D5FB4">
      <w:pPr>
        <w:ind w:firstLine="420" w:firstLineChars="200"/>
      </w:pPr>
      <w:r>
        <w:drawing>
          <wp:anchor distT="0" distB="0" distL="114300" distR="114300" simplePos="0" relativeHeight="251661312" behindDoc="0" locked="0" layoutInCell="1" allowOverlap="1">
            <wp:simplePos x="0" y="0"/>
            <wp:positionH relativeFrom="column">
              <wp:posOffset>1583055</wp:posOffset>
            </wp:positionH>
            <wp:positionV relativeFrom="paragraph">
              <wp:posOffset>266700</wp:posOffset>
            </wp:positionV>
            <wp:extent cx="1797685" cy="243840"/>
            <wp:effectExtent l="0" t="0" r="0" b="0"/>
            <wp:wrapNone/>
            <wp:docPr id="17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1"/>
                    <pic:cNvPicPr>
                      <a:picLocks noChangeAspect="1"/>
                    </pic:cNvPicPr>
                  </pic:nvPicPr>
                  <pic:blipFill>
                    <a:blip r:embed="rId25" cstate="print">
                      <a:extLst>
                        <a:ext uri="{28A0092B-C50C-407E-A947-70E740481C1C}">
                          <a14:useLocalDpi xmlns:a14="http://schemas.microsoft.com/office/drawing/2010/main" val="0"/>
                        </a:ext>
                      </a:extLst>
                    </a:blip>
                    <a:srcRect t="14582" b="19747"/>
                    <a:stretch>
                      <a:fillRect/>
                    </a:stretch>
                  </pic:blipFill>
                  <pic:spPr>
                    <a:xfrm>
                      <a:off x="0" y="0"/>
                      <a:ext cx="1797685" cy="243840"/>
                    </a:xfrm>
                    <a:prstGeom prst="rect">
                      <a:avLst/>
                    </a:prstGeom>
                  </pic:spPr>
                </pic:pic>
              </a:graphicData>
            </a:graphic>
          </wp:anchor>
        </w:drawing>
      </w:r>
      <w:r>
        <w:rPr>
          <w:rFonts w:hint="eastAsia"/>
          <w:lang w:val="zh-CN"/>
        </w:rPr>
        <w:t xml:space="preserve">剂量率类型模式进度条标尺进位用“m”，计数率类型模式进度条标尺进位用“k”。超过一级报警阈值时进度条标红，类似： </w:t>
      </w:r>
    </w:p>
    <w:p w14:paraId="6D000181">
      <w:pPr>
        <w:rPr>
          <w:lang w:val="zh-CN"/>
        </w:rPr>
      </w:pPr>
      <w:r>
        <w:rPr>
          <w:rFonts w:hint="eastAsia" w:ascii="宋体" w:hAnsi="宋体"/>
          <w:lang w:val="zh-CN"/>
        </w:rPr>
        <w:t>⑨</w:t>
      </w:r>
      <w:r>
        <w:rPr>
          <w:rFonts w:hint="eastAsia"/>
          <w:lang w:val="zh-CN"/>
        </w:rPr>
        <w:t>：报警阈值显示：</w:t>
      </w:r>
    </w:p>
    <w:p w14:paraId="7372AFD3">
      <w:pPr>
        <w:ind w:firstLine="420" w:firstLineChars="200"/>
        <w:rPr>
          <w:lang w:val="zh-CN"/>
        </w:rPr>
      </w:pPr>
      <w:r>
        <w:rPr>
          <w:rFonts w:hint="eastAsia"/>
          <w:lang w:val="zh-CN"/>
        </w:rPr>
        <w:t>该处显示报警阈值，3位数字显示：</w:t>
      </w:r>
    </w:p>
    <w:p w14:paraId="5F38BF01">
      <w:pPr>
        <w:rPr>
          <w:lang w:val="zh-CN"/>
        </w:rPr>
      </w:pPr>
      <w:r>
        <w:rPr>
          <w:lang w:val="zh-CN"/>
        </w:rPr>
        <w:t></w:t>
      </w:r>
      <w:r>
        <w:rPr>
          <w:lang w:val="zh-CN"/>
        </w:rPr>
        <w:tab/>
      </w:r>
      <w:r>
        <w:rPr>
          <w:rFonts w:hint="eastAsia"/>
          <w:lang w:val="zh-CN"/>
        </w:rPr>
        <w:t>剂量率类型模式时，</w:t>
      </w:r>
      <w:r>
        <w:rPr>
          <w:lang w:val="zh-CN"/>
        </w:rPr>
        <w:t>AlarmR</w:t>
      </w:r>
      <w:r>
        <w:rPr>
          <w:rFonts w:hint="eastAsia"/>
          <w:lang w:val="zh-CN"/>
        </w:rPr>
        <w:t>表示剂量率报警阈值。</w:t>
      </w:r>
      <w:r>
        <w:rPr>
          <w:lang w:val="zh-CN"/>
        </w:rPr>
        <w:t xml:space="preserve"> AlarmD</w:t>
      </w:r>
      <w:r>
        <w:rPr>
          <w:rFonts w:hint="eastAsia"/>
          <w:lang w:val="zh-CN"/>
        </w:rPr>
        <w:t>表示累积剂量报警阈值。</w:t>
      </w:r>
    </w:p>
    <w:p w14:paraId="211B00AB">
      <w:pPr>
        <w:rPr>
          <w:lang w:val="zh-CN"/>
        </w:rPr>
      </w:pPr>
      <w:r>
        <w:rPr>
          <w:lang w:val="zh-CN"/>
        </w:rPr>
        <w:t></w:t>
      </w:r>
      <w:r>
        <w:rPr>
          <w:lang w:val="zh-CN"/>
        </w:rPr>
        <w:tab/>
      </w:r>
      <w:r>
        <w:rPr>
          <w:rFonts w:hint="eastAsia"/>
          <w:lang w:val="zh-CN"/>
        </w:rPr>
        <w:t>计数率类型模式时，</w:t>
      </w:r>
      <w:r>
        <w:rPr>
          <w:lang w:val="zh-CN"/>
        </w:rPr>
        <w:t>AlarmA</w:t>
      </w:r>
      <w:r>
        <w:rPr>
          <w:rFonts w:hint="eastAsia"/>
          <w:lang w:val="zh-CN"/>
        </w:rPr>
        <w:t>表示α计数率报警阈值（单位</w:t>
      </w:r>
      <w:r>
        <w:rPr>
          <w:lang w:val="zh-CN"/>
        </w:rPr>
        <w:t>CPS</w:t>
      </w:r>
      <w:r>
        <w:rPr>
          <w:rFonts w:hint="eastAsia"/>
          <w:lang w:val="zh-CN"/>
        </w:rPr>
        <w:t>），</w:t>
      </w:r>
      <w:r>
        <w:rPr>
          <w:lang w:val="zh-CN"/>
        </w:rPr>
        <w:t>AlarmB</w:t>
      </w:r>
      <w:r>
        <w:rPr>
          <w:rFonts w:hint="eastAsia"/>
          <w:lang w:val="zh-CN"/>
        </w:rPr>
        <w:t>表示β计数率报警阈值（单位</w:t>
      </w:r>
      <w:r>
        <w:rPr>
          <w:lang w:val="zh-CN"/>
        </w:rPr>
        <w:t>CPS</w:t>
      </w:r>
      <w:r>
        <w:rPr>
          <w:rFonts w:hint="eastAsia"/>
          <w:lang w:val="zh-CN"/>
        </w:rPr>
        <w:t>）。</w:t>
      </w:r>
    </w:p>
    <w:p w14:paraId="392DBD5F">
      <w:pPr>
        <w:rPr>
          <w:lang w:val="zh-CN"/>
        </w:rPr>
      </w:pPr>
      <w:r>
        <w:rPr>
          <w:rFonts w:hint="eastAsia" w:ascii="宋体" w:hAnsi="宋体"/>
          <w:lang w:val="zh-CN"/>
        </w:rPr>
        <w:t>⑩</w:t>
      </w:r>
      <w:r>
        <w:rPr>
          <w:rFonts w:hint="eastAsia"/>
          <w:lang w:val="zh-CN"/>
        </w:rPr>
        <w:t>：操作按键光标：</w:t>
      </w:r>
    </w:p>
    <w:p w14:paraId="68580612">
      <w:pPr>
        <w:ind w:firstLine="420" w:firstLineChars="200"/>
        <w:rPr>
          <w:lang w:val="zh-CN"/>
        </w:rPr>
      </w:pPr>
      <w:r>
        <w:rPr>
          <w:rFonts w:hint="eastAsia"/>
          <w:lang w:val="zh-CN"/>
        </w:rPr>
        <w:t>模式：进行测量模式切换</w:t>
      </w:r>
    </w:p>
    <w:p w14:paraId="53C51871">
      <w:pPr>
        <w:ind w:firstLine="420" w:firstLineChars="200"/>
        <w:rPr>
          <w:lang w:val="zh-CN"/>
        </w:rPr>
      </w:pPr>
      <w:r>
        <w:rPr>
          <w:rFonts w:hint="eastAsia"/>
          <w:lang w:val="zh-CN"/>
        </w:rPr>
        <w:t>存储：手动存储随时都可以，存储当前界面下的值，存储成功后在温度显示下面出现“</w:t>
      </w:r>
      <w:r>
        <w:rPr>
          <w:lang w:val="zh-CN"/>
        </w:rPr>
        <w:t>Stored”2</w:t>
      </w:r>
      <w:r>
        <w:rPr>
          <w:rFonts w:hint="eastAsia"/>
          <w:lang w:val="zh-CN"/>
        </w:rPr>
        <w:t>秒；自动存储时不用显示，根据存储时间存储。</w:t>
      </w:r>
    </w:p>
    <w:p w14:paraId="5CC09DEF">
      <w:pPr>
        <w:ind w:firstLine="420" w:firstLineChars="200"/>
        <w:rPr>
          <w:lang w:val="zh-CN"/>
        </w:rPr>
      </w:pPr>
      <w:r>
        <w:rPr>
          <w:rFonts w:hint="eastAsia"/>
          <w:lang w:val="zh-CN"/>
        </w:rPr>
        <w:t>复位：进行测量进程刷新，重新开始测量，同时可复位</w:t>
      </w:r>
      <w:r>
        <w:rPr>
          <w:lang w:val="zh-CN"/>
        </w:rPr>
        <w:t>Peak</w:t>
      </w:r>
      <w:r>
        <w:rPr>
          <w:rFonts w:hint="eastAsia"/>
          <w:lang w:val="zh-CN"/>
        </w:rPr>
        <w:t>模式和</w:t>
      </w:r>
      <w:r>
        <w:rPr>
          <w:lang w:val="zh-CN"/>
        </w:rPr>
        <w:t>Dose</w:t>
      </w:r>
      <w:r>
        <w:rPr>
          <w:rFonts w:hint="eastAsia"/>
          <w:lang w:val="zh-CN"/>
        </w:rPr>
        <w:t>模式下剂量清零。</w:t>
      </w:r>
    </w:p>
    <w:p w14:paraId="35620BDA">
      <w:pPr>
        <w:ind w:firstLine="420" w:firstLineChars="200"/>
        <w:rPr>
          <w:lang w:val="zh-CN"/>
        </w:rPr>
      </w:pPr>
      <w:r>
        <w:rPr>
          <w:rFonts w:hint="eastAsia"/>
          <w:lang w:val="zh-CN"/>
        </w:rPr>
        <w:t>设置：进入设备设置界面</w:t>
      </w:r>
      <w:r>
        <w:rPr>
          <w:lang w:val="zh-CN"/>
        </w:rPr>
        <w:t>。</w:t>
      </w:r>
    </w:p>
    <w:p w14:paraId="459BB1C6">
      <w:pPr>
        <w:pStyle w:val="3"/>
      </w:pPr>
      <w:bookmarkStart w:id="17" w:name="_Toc165732922"/>
      <w:r>
        <w:rPr>
          <w:rFonts w:hint="eastAsia"/>
        </w:rPr>
        <w:t>7.3  模式切换</w:t>
      </w:r>
      <w:bookmarkEnd w:id="17"/>
    </w:p>
    <w:p w14:paraId="6D4C74B7">
      <w:pPr>
        <w:ind w:firstLine="420" w:firstLineChars="200"/>
        <w:rPr>
          <w:lang w:val="zh-CN"/>
        </w:rPr>
      </w:pPr>
      <w:r>
        <w:rPr>
          <w:rFonts w:hint="eastAsia"/>
          <w:lang w:val="zh-CN"/>
        </w:rPr>
        <w:t>主界面，将光标移至模式处，按“OK”键进行模式切换，共有四种模式，分别为巡检模式，峰值模式，累积模式，均值模式，其中界面显示根据探测器类型不一样，分为剂量显示界面和计数率显示界面。</w:t>
      </w:r>
    </w:p>
    <w:p w14:paraId="76970351">
      <w:pPr>
        <w:ind w:firstLine="420" w:firstLineChars="200"/>
        <w:rPr>
          <w:lang w:val="zh-CN"/>
        </w:rPr>
      </w:pPr>
      <w:r>
        <w:rPr>
          <w:rFonts w:hint="eastAsia"/>
          <w:lang w:val="zh-CN"/>
        </w:rPr>
        <w:t>剂量显示界面下，如图2（剂量率模式下界面）</w:t>
      </w:r>
    </w:p>
    <w:p w14:paraId="3357B1D9">
      <w:pPr>
        <w:ind w:firstLine="420" w:firstLineChars="200"/>
        <w:rPr>
          <w:lang w:val="zh-CN"/>
        </w:rPr>
      </w:pPr>
      <w:r>
        <w:rPr>
          <w:rFonts w:hint="eastAsia"/>
          <w:lang w:val="zh-CN"/>
        </w:rPr>
        <w:t>默认模式为：巡检模式rate（剂量率），按一下为峰值模式Peak(峰值)，按两下为累积模式Dose(累积剂量)，按三下为均值模式Average(平均值)</w:t>
      </w:r>
    </w:p>
    <w:p w14:paraId="2BA44599">
      <w:pPr>
        <w:ind w:firstLine="420" w:firstLineChars="200"/>
        <w:rPr>
          <w:lang w:val="zh-CN"/>
        </w:rPr>
      </w:pPr>
      <w:r>
        <w:rPr>
          <w:rFonts w:hint="eastAsia"/>
          <w:lang w:val="zh-CN"/>
        </w:rPr>
        <w:t>1、Rate(剂量率)：显示实时剂量率；</w:t>
      </w:r>
    </w:p>
    <w:p w14:paraId="36DEA297">
      <w:pPr>
        <w:ind w:firstLine="420" w:firstLineChars="200"/>
        <w:rPr>
          <w:lang w:val="zh-CN"/>
        </w:rPr>
      </w:pPr>
      <w:r>
        <w:rPr>
          <w:rFonts w:hint="eastAsia"/>
          <w:lang w:val="zh-CN"/>
        </w:rPr>
        <w:t>2、Peak(峰值)：显示从开机测量到当前的最大剂量率值，可通过复位清零当前显示值前的最大值，重新开始显示最大值，总之一直显示开机或清零后的最大剂量率值；</w:t>
      </w:r>
    </w:p>
    <w:p w14:paraId="0C62E479">
      <w:pPr>
        <w:ind w:firstLine="420" w:firstLineChars="200"/>
        <w:rPr>
          <w:lang w:val="zh-CN"/>
        </w:rPr>
      </w:pPr>
      <w:r>
        <w:rPr>
          <w:rFonts w:hint="eastAsia"/>
          <w:lang w:val="zh-CN"/>
        </w:rPr>
        <w:t>复位：重新开始峰值获取，可按下“复位”键，显示的峰值数据为复位开始后的最高值数据。</w:t>
      </w:r>
    </w:p>
    <w:p w14:paraId="195A68CF">
      <w:pPr>
        <w:ind w:firstLine="420" w:firstLineChars="200"/>
        <w:rPr>
          <w:lang w:val="zh-CN"/>
        </w:rPr>
      </w:pPr>
      <w:r>
        <w:rPr>
          <w:rFonts w:hint="eastAsia"/>
          <w:lang w:val="zh-CN"/>
        </w:rPr>
        <w:t>3、Dose(累积剂量)：显示开机到当前剂量率的累积值，可通过复位清零当前累积值重新开始累积（注意该模式单位不一样）；</w:t>
      </w:r>
    </w:p>
    <w:p w14:paraId="4650CC39">
      <w:pPr>
        <w:ind w:firstLine="420" w:firstLineChars="200"/>
        <w:rPr>
          <w:lang w:val="zh-CN"/>
        </w:rPr>
      </w:pPr>
      <w:r>
        <w:rPr>
          <w:rFonts w:hint="eastAsia"/>
          <w:lang w:val="zh-CN"/>
        </w:rPr>
        <w:t>复位：按下“复位”键后，重新开始计数累积，同时当累积剂量报警超标时，可按复位键进行累积剂量清零操作，重新开始计数累积。</w:t>
      </w:r>
    </w:p>
    <w:p w14:paraId="1A61EA54">
      <w:pPr>
        <w:ind w:firstLine="420" w:firstLineChars="200"/>
        <w:rPr>
          <w:lang w:val="zh-CN"/>
        </w:rPr>
      </w:pPr>
      <w:r>
        <w:rPr>
          <w:rFonts w:hint="eastAsia"/>
          <w:lang w:val="zh-CN"/>
        </w:rPr>
        <w:t>4、Average(平均值)：按测量时间开始累积每个道的</w:t>
      </w:r>
      <w:r>
        <w:rPr>
          <w:rFonts w:hint="eastAsia"/>
        </w:rPr>
        <w:t>计数率</w:t>
      </w:r>
      <w:r>
        <w:rPr>
          <w:rFonts w:hint="eastAsia"/>
          <w:lang w:val="zh-CN"/>
        </w:rPr>
        <w:t>，同时剂量率也在后台累积，当测量时间结束时，C1和C2显示测量时间内每个道总的计数（整数），同时主显示显示测量时间内的平均剂量率。</w:t>
      </w:r>
    </w:p>
    <w:p w14:paraId="34D98B80">
      <w:pPr>
        <w:jc w:val="center"/>
        <w:rPr>
          <w:lang w:val="zh-CN"/>
        </w:rPr>
      </w:pPr>
      <w:r>
        <w:drawing>
          <wp:inline distT="0" distB="0" distL="114300" distR="114300">
            <wp:extent cx="3272155" cy="4958080"/>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3272155" cy="4958080"/>
                    </a:xfrm>
                    <a:prstGeom prst="rect">
                      <a:avLst/>
                    </a:prstGeom>
                    <a:noFill/>
                    <a:ln>
                      <a:noFill/>
                    </a:ln>
                  </pic:spPr>
                </pic:pic>
              </a:graphicData>
            </a:graphic>
          </wp:inline>
        </w:drawing>
      </w:r>
    </w:p>
    <w:p w14:paraId="48006E7A">
      <w:pPr>
        <w:jc w:val="center"/>
        <w:rPr>
          <w:lang w:val="zh-CN"/>
        </w:rPr>
      </w:pPr>
      <w:r>
        <w:rPr>
          <w:rFonts w:hint="eastAsia"/>
          <w:lang w:val="zh-CN"/>
        </w:rPr>
        <w:t>（图2）剂量率模式下界面</w:t>
      </w:r>
    </w:p>
    <w:p w14:paraId="07C21368">
      <w:pPr>
        <w:rPr>
          <w:lang w:val="zh-CN"/>
        </w:rPr>
      </w:pPr>
      <w:r>
        <w:rPr>
          <w:rFonts w:hint="eastAsia"/>
          <w:lang w:val="zh-CN"/>
        </w:rPr>
        <w:t>计数率显示界面下，如图3（计数率模式下界面）</w:t>
      </w:r>
    </w:p>
    <w:p w14:paraId="1F907BDA">
      <w:pPr>
        <w:rPr>
          <w:lang w:val="zh-CN"/>
        </w:rPr>
      </w:pPr>
      <w:r>
        <w:rPr>
          <w:rFonts w:hint="eastAsia"/>
          <w:lang w:val="zh-CN"/>
        </w:rPr>
        <w:t>默认模式为：巡检模式Gross(总计数率)，按一下为峰值模式Peak(峰值)，按两下为累积模式Net(净计数率)，按三下为均值模式Average(平均值)</w:t>
      </w:r>
    </w:p>
    <w:p w14:paraId="05F28EDB">
      <w:pPr>
        <w:rPr>
          <w:lang w:val="zh-CN"/>
        </w:rPr>
      </w:pPr>
      <w:r>
        <w:rPr>
          <w:rFonts w:hint="eastAsia"/>
          <w:lang w:val="zh-CN"/>
        </w:rPr>
        <w:t>1、Gross(总计数率)：显示每秒不扣除本底的实时计数率；</w:t>
      </w:r>
    </w:p>
    <w:p w14:paraId="7D72B21C">
      <w:pPr>
        <w:rPr>
          <w:lang w:val="zh-CN"/>
        </w:rPr>
      </w:pPr>
      <w:r>
        <w:rPr>
          <w:rFonts w:hint="eastAsia"/>
          <w:lang w:val="zh-CN"/>
        </w:rPr>
        <w:t>2、Peak(峰值)：显示开机测量到当前的最大总计数率值，可通过复位清零当前显示值前的最大值，重新开始显示最大值，总之一直显示开机或清零后的最大总计数率值；</w:t>
      </w:r>
    </w:p>
    <w:p w14:paraId="4E04E61D">
      <w:pPr>
        <w:rPr>
          <w:lang w:val="zh-CN"/>
        </w:rPr>
      </w:pPr>
      <w:r>
        <w:rPr>
          <w:rFonts w:hint="eastAsia"/>
          <w:lang w:val="zh-CN"/>
        </w:rPr>
        <w:t xml:space="preserve">   复位：重新开始峰值获取，可按下“复位”键，显示的峰值数据为复位开始后的最高值数据。</w:t>
      </w:r>
    </w:p>
    <w:p w14:paraId="555EA92C">
      <w:pPr>
        <w:rPr>
          <w:lang w:val="zh-CN"/>
        </w:rPr>
      </w:pPr>
      <w:r>
        <w:rPr>
          <w:rFonts w:hint="eastAsia"/>
          <w:lang w:val="zh-CN"/>
        </w:rPr>
        <w:t>3、</w:t>
      </w:r>
      <w:r>
        <w:rPr>
          <w:rFonts w:hint="eastAsia"/>
          <w:lang w:val="en-US" w:eastAsia="zh-CN"/>
        </w:rPr>
        <w:t>Net</w:t>
      </w:r>
      <w:r>
        <w:rPr>
          <w:rFonts w:hint="eastAsia"/>
          <w:lang w:val="zh-CN"/>
        </w:rPr>
        <w:t>(净计数率)：显示每秒扣除本底的实时计数率（本底为探头中每道设置的本底值）；</w:t>
      </w:r>
    </w:p>
    <w:p w14:paraId="3B1E3B78">
      <w:pPr>
        <w:rPr>
          <w:lang w:val="zh-CN"/>
        </w:rPr>
      </w:pPr>
      <w:r>
        <w:rPr>
          <w:rFonts w:hint="eastAsia"/>
          <w:lang w:val="zh-CN"/>
        </w:rPr>
        <w:t xml:space="preserve">   复位：按下“复位”键后，重新开始计数累积，同时当累积剂量报警超标时，可按复位键进行累积剂量清零操作，重新开始计数累积。</w:t>
      </w:r>
    </w:p>
    <w:p w14:paraId="50298A43">
      <w:pPr>
        <w:rPr>
          <w:lang w:val="zh-CN"/>
        </w:rPr>
      </w:pPr>
      <w:r>
        <w:rPr>
          <w:rFonts w:hint="eastAsia"/>
          <w:lang w:val="zh-CN"/>
        </w:rPr>
        <w:t>4、Average(平均值)：按测量时间开始累积每秒每个道的计数率，当测量时间结束时，C1和C2显示测量时间内每个道总的计数（整数），同时主显示显示测量时间内的平均总计数率。</w:t>
      </w:r>
    </w:p>
    <w:p w14:paraId="2A904384">
      <w:pPr>
        <w:jc w:val="center"/>
        <w:rPr>
          <w:lang w:val="zh-CN"/>
        </w:rPr>
      </w:pPr>
      <w:r>
        <w:drawing>
          <wp:inline distT="0" distB="0" distL="114300" distR="114300">
            <wp:extent cx="3300730" cy="496760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3300730" cy="4967605"/>
                    </a:xfrm>
                    <a:prstGeom prst="rect">
                      <a:avLst/>
                    </a:prstGeom>
                    <a:noFill/>
                    <a:ln>
                      <a:noFill/>
                    </a:ln>
                  </pic:spPr>
                </pic:pic>
              </a:graphicData>
            </a:graphic>
          </wp:inline>
        </w:drawing>
      </w:r>
    </w:p>
    <w:p w14:paraId="04EE76BC">
      <w:pPr>
        <w:jc w:val="center"/>
        <w:rPr>
          <w:lang w:val="zh-CN"/>
        </w:rPr>
      </w:pPr>
      <w:r>
        <w:rPr>
          <w:rFonts w:hint="eastAsia"/>
          <w:lang w:val="zh-CN"/>
        </w:rPr>
        <w:t>（图3）计数率模式下界面</w:t>
      </w:r>
    </w:p>
    <w:p w14:paraId="54380FA2">
      <w:pPr>
        <w:pStyle w:val="3"/>
      </w:pPr>
      <w:bookmarkStart w:id="18" w:name="_Toc165732923"/>
      <w:r>
        <w:rPr>
          <w:rFonts w:hint="eastAsia"/>
        </w:rPr>
        <w:t>7.4  功能设置菜单</w:t>
      </w:r>
      <w:bookmarkEnd w:id="18"/>
    </w:p>
    <w:p w14:paraId="51371DAF">
      <w:pPr>
        <w:ind w:firstLine="420" w:firstLineChars="200"/>
        <w:rPr>
          <w:lang w:val="zh-CN"/>
        </w:rPr>
      </w:pPr>
      <w:r>
        <w:rPr>
          <w:rFonts w:hint="eastAsia"/>
        </w:rPr>
        <w:t>通过按“设置</w:t>
      </w:r>
      <w:r>
        <w:t>-</w:t>
      </w:r>
      <w:r>
        <w:rPr>
          <w:rFonts w:hint="eastAsia"/>
        </w:rPr>
        <w:t>确认</w:t>
      </w:r>
      <w:r>
        <w:t>OK”</w:t>
      </w:r>
      <w:r>
        <w:rPr>
          <w:rFonts w:hint="eastAsia"/>
        </w:rPr>
        <w:t>进入功能设置菜单，通过“电源”键返回主界面；通过按“</w:t>
      </w:r>
      <w:r>
        <w:t>OK”</w:t>
      </w:r>
      <w:r>
        <w:rPr>
          <w:rFonts w:hint="eastAsia"/>
        </w:rPr>
        <w:t>键进入子菜单，同样通过按“电源”键返回到主菜单，并同时保存设置值；通过操作按键上标有上、下、左、右的图标键来设置数值和功能。</w:t>
      </w:r>
    </w:p>
    <w:p w14:paraId="4EB6FA0B">
      <w:pPr>
        <w:jc w:val="center"/>
        <w:rPr>
          <w:lang w:val="zh-CN"/>
        </w:rPr>
      </w:pPr>
      <w:r>
        <w:drawing>
          <wp:inline distT="0" distB="0" distL="114300" distR="114300">
            <wp:extent cx="1896110" cy="2581275"/>
            <wp:effectExtent l="0" t="0" r="8890"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28"/>
                    <a:stretch>
                      <a:fillRect/>
                    </a:stretch>
                  </pic:blipFill>
                  <pic:spPr>
                    <a:xfrm>
                      <a:off x="0" y="0"/>
                      <a:ext cx="1903112" cy="2590717"/>
                    </a:xfrm>
                    <a:prstGeom prst="rect">
                      <a:avLst/>
                    </a:prstGeom>
                    <a:noFill/>
                    <a:ln>
                      <a:noFill/>
                    </a:ln>
                  </pic:spPr>
                </pic:pic>
              </a:graphicData>
            </a:graphic>
          </wp:inline>
        </w:drawing>
      </w:r>
    </w:p>
    <w:p w14:paraId="054B974B">
      <w:pPr>
        <w:jc w:val="center"/>
        <w:rPr>
          <w:lang w:val="zh-CN"/>
        </w:rPr>
      </w:pPr>
      <w:r>
        <w:rPr>
          <w:lang w:val="zh-CN"/>
        </w:rPr>
        <w:t></w:t>
      </w:r>
      <w:r>
        <w:rPr>
          <w:lang w:val="zh-CN"/>
        </w:rPr>
        <w:tab/>
      </w:r>
      <w:r>
        <w:rPr>
          <w:rFonts w:hint="eastAsia"/>
          <w:lang w:val="zh-CN"/>
        </w:rPr>
        <w:t>（图4）</w:t>
      </w:r>
      <w:r>
        <w:rPr>
          <w:lang w:val="zh-CN"/>
        </w:rPr>
        <w:t xml:space="preserve"> </w:t>
      </w:r>
      <w:r>
        <w:rPr>
          <w:rFonts w:hint="eastAsia"/>
          <w:lang w:val="zh-CN"/>
        </w:rPr>
        <w:t>功能设置界面</w:t>
      </w:r>
    </w:p>
    <w:p w14:paraId="2F34BB24">
      <w:pPr>
        <w:pStyle w:val="3"/>
      </w:pPr>
      <w:bookmarkStart w:id="19" w:name="_Toc165732924"/>
      <w:r>
        <w:rPr>
          <w:rFonts w:hint="eastAsia"/>
        </w:rPr>
        <w:t>7.5  通讯设置</w:t>
      </w:r>
      <w:bookmarkEnd w:id="19"/>
    </w:p>
    <w:p w14:paraId="57DB45ED">
      <w:pPr>
        <w:ind w:firstLine="420" w:firstLineChars="200"/>
        <w:rPr>
          <w:lang w:val="zh-CN"/>
        </w:rPr>
      </w:pPr>
      <w:r>
        <w:rPr>
          <w:rFonts w:hint="eastAsia"/>
          <w:lang w:val="zh-CN"/>
        </w:rPr>
        <w:t>进入子菜单设置界面如图5所示。进入界面前需输入密码，初始默认密码为：1234，进入界面后可更改操作密码，本界面是用于校正主机和探测器的连接，参数为厂家设置，无需用户设置，选配蓝牙、打印机时，用户可与各地经销商联系，厂家提供专业的安装、操作指导，参数如变动可根据下方界面图参数进行设置更改。</w:t>
      </w:r>
    </w:p>
    <w:p w14:paraId="011A6B16">
      <w:pPr>
        <w:jc w:val="center"/>
        <w:rPr>
          <w:lang w:val="zh-CN"/>
        </w:rPr>
      </w:pPr>
      <w:r>
        <w:drawing>
          <wp:inline distT="0" distB="0" distL="114300" distR="114300">
            <wp:extent cx="3729355" cy="277685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3729355" cy="2776855"/>
                    </a:xfrm>
                    <a:prstGeom prst="rect">
                      <a:avLst/>
                    </a:prstGeom>
                    <a:noFill/>
                    <a:ln>
                      <a:noFill/>
                    </a:ln>
                  </pic:spPr>
                </pic:pic>
              </a:graphicData>
            </a:graphic>
          </wp:inline>
        </w:drawing>
      </w:r>
    </w:p>
    <w:p w14:paraId="7C600B45">
      <w:pPr>
        <w:jc w:val="center"/>
        <w:rPr>
          <w:lang w:val="zh-CN"/>
        </w:rPr>
      </w:pPr>
      <w:r>
        <w:rPr>
          <w:rFonts w:hint="eastAsia"/>
          <w:lang w:val="zh-CN"/>
        </w:rPr>
        <w:t>（图5）  通讯设置界面</w:t>
      </w:r>
    </w:p>
    <w:p w14:paraId="02FF4D3F">
      <w:pPr>
        <w:pStyle w:val="3"/>
      </w:pPr>
      <w:bookmarkStart w:id="20" w:name="_Toc165732925"/>
      <w:r>
        <w:rPr>
          <w:rFonts w:hint="eastAsia"/>
        </w:rPr>
        <w:t>7.6  系统参数设置</w:t>
      </w:r>
      <w:bookmarkEnd w:id="20"/>
    </w:p>
    <w:p w14:paraId="0A887E2C">
      <w:pPr>
        <w:jc w:val="center"/>
        <w:rPr>
          <w:lang w:val="zh-CN"/>
        </w:rPr>
      </w:pPr>
      <w:r>
        <w:drawing>
          <wp:inline distT="0" distB="0" distL="114300" distR="114300">
            <wp:extent cx="4629150" cy="3100705"/>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0"/>
                    <a:stretch>
                      <a:fillRect/>
                    </a:stretch>
                  </pic:blipFill>
                  <pic:spPr>
                    <a:xfrm>
                      <a:off x="0" y="0"/>
                      <a:ext cx="4644737" cy="3110998"/>
                    </a:xfrm>
                    <a:prstGeom prst="rect">
                      <a:avLst/>
                    </a:prstGeom>
                    <a:noFill/>
                    <a:ln>
                      <a:noFill/>
                    </a:ln>
                  </pic:spPr>
                </pic:pic>
              </a:graphicData>
            </a:graphic>
          </wp:inline>
        </w:drawing>
      </w:r>
    </w:p>
    <w:p w14:paraId="30477D59">
      <w:pPr>
        <w:jc w:val="center"/>
        <w:rPr>
          <w:lang w:val="zh-CN"/>
        </w:rPr>
      </w:pPr>
      <w:r>
        <w:rPr>
          <w:rFonts w:hint="eastAsia"/>
          <w:lang w:val="zh-CN"/>
        </w:rPr>
        <w:t>（图6） 测量模式设置界面</w:t>
      </w:r>
    </w:p>
    <w:p w14:paraId="4BD5F309">
      <w:pPr>
        <w:rPr>
          <w:lang w:val="zh-CN"/>
        </w:rPr>
      </w:pPr>
      <w:r>
        <w:rPr>
          <w:rFonts w:hint="eastAsia"/>
          <w:lang w:val="zh-CN"/>
        </w:rPr>
        <w:t>1)</w:t>
      </w:r>
      <w:r>
        <w:rPr>
          <w:rFonts w:hint="eastAsia"/>
          <w:lang w:val="zh-CN"/>
        </w:rPr>
        <w:tab/>
      </w:r>
      <w:r>
        <w:rPr>
          <w:rFonts w:hint="eastAsia"/>
          <w:lang w:val="zh-CN"/>
        </w:rPr>
        <w:t>背光设置：可选择常亮和亮10秒，亮60秒，亮300秒</w:t>
      </w:r>
      <w:r>
        <w:rPr>
          <w:rFonts w:hint="eastAsia"/>
        </w:rPr>
        <w:t>四</w:t>
      </w:r>
      <w:r>
        <w:rPr>
          <w:rFonts w:hint="eastAsia"/>
          <w:lang w:val="zh-CN"/>
        </w:rPr>
        <w:t>种选择。</w:t>
      </w:r>
    </w:p>
    <w:p w14:paraId="6D5C5ECD">
      <w:pPr>
        <w:rPr>
          <w:lang w:val="zh-CN"/>
        </w:rPr>
      </w:pPr>
      <w:r>
        <w:rPr>
          <w:rFonts w:hint="eastAsia"/>
          <w:lang w:val="zh-CN"/>
        </w:rPr>
        <w:t>2)</w:t>
      </w:r>
      <w:r>
        <w:rPr>
          <w:rFonts w:hint="eastAsia"/>
          <w:lang w:val="zh-CN"/>
        </w:rPr>
        <w:tab/>
      </w:r>
      <w:r>
        <w:rPr>
          <w:rFonts w:hint="eastAsia"/>
          <w:lang w:val="zh-CN"/>
        </w:rPr>
        <w:t>报警方式:声光报警、声音报警、光学报警、报警关闭</w:t>
      </w:r>
    </w:p>
    <w:p w14:paraId="68151991">
      <w:pPr>
        <w:rPr>
          <w:lang w:val="zh-CN"/>
        </w:rPr>
      </w:pPr>
      <w:r>
        <w:rPr>
          <w:rFonts w:hint="eastAsia"/>
          <w:lang w:val="zh-CN"/>
        </w:rPr>
        <w:t>3)</w:t>
      </w:r>
      <w:r>
        <w:rPr>
          <w:rFonts w:hint="eastAsia"/>
          <w:lang w:val="zh-CN"/>
        </w:rPr>
        <w:tab/>
      </w:r>
      <w:r>
        <w:rPr>
          <w:rFonts w:hint="eastAsia"/>
          <w:lang w:val="zh-CN"/>
        </w:rPr>
        <w:t>语言：中文/英文两种语言可切换</w:t>
      </w:r>
    </w:p>
    <w:p w14:paraId="4583EE76">
      <w:pPr>
        <w:rPr>
          <w:lang w:val="zh-CN"/>
        </w:rPr>
      </w:pPr>
      <w:r>
        <w:rPr>
          <w:rFonts w:hint="eastAsia"/>
          <w:lang w:val="zh-CN"/>
        </w:rPr>
        <w:t>4)</w:t>
      </w:r>
      <w:r>
        <w:rPr>
          <w:rFonts w:hint="eastAsia"/>
          <w:lang w:val="zh-CN"/>
        </w:rPr>
        <w:tab/>
      </w:r>
      <w:r>
        <w:rPr>
          <w:rFonts w:hint="eastAsia"/>
          <w:lang w:val="zh-CN"/>
        </w:rPr>
        <w:t>位置码、人员码，用于系统进行人员和位置定位使用</w:t>
      </w:r>
    </w:p>
    <w:p w14:paraId="5B90C87D">
      <w:pPr>
        <w:rPr>
          <w:lang w:val="zh-CN"/>
        </w:rPr>
      </w:pPr>
      <w:r>
        <w:rPr>
          <w:rFonts w:hint="eastAsia"/>
          <w:lang w:val="zh-CN"/>
        </w:rPr>
        <w:t>5)</w:t>
      </w:r>
      <w:r>
        <w:rPr>
          <w:rFonts w:hint="eastAsia"/>
          <w:lang w:val="zh-CN"/>
        </w:rPr>
        <w:tab/>
      </w:r>
      <w:r>
        <w:rPr>
          <w:rFonts w:hint="eastAsia"/>
          <w:lang w:val="zh-CN"/>
        </w:rPr>
        <w:t>测量时间：用于精确测量的时间调节</w:t>
      </w:r>
    </w:p>
    <w:p w14:paraId="43F08C23">
      <w:pPr>
        <w:rPr>
          <w:lang w:val="zh-CN"/>
        </w:rPr>
      </w:pPr>
      <w:r>
        <w:rPr>
          <w:rFonts w:hint="eastAsia"/>
          <w:lang w:val="zh-CN"/>
        </w:rPr>
        <w:t>6)</w:t>
      </w:r>
      <w:r>
        <w:rPr>
          <w:rFonts w:hint="eastAsia"/>
          <w:lang w:val="zh-CN"/>
        </w:rPr>
        <w:tab/>
      </w:r>
      <w:r>
        <w:rPr>
          <w:rFonts w:hint="eastAsia"/>
          <w:lang w:val="zh-CN"/>
        </w:rPr>
        <w:t>曝光时间：用于曝光场所，曝光时间的修正</w:t>
      </w:r>
    </w:p>
    <w:p w14:paraId="3E1706C5">
      <w:pPr>
        <w:rPr>
          <w:lang w:val="zh-CN"/>
        </w:rPr>
      </w:pPr>
      <w:r>
        <w:rPr>
          <w:rFonts w:hint="eastAsia"/>
          <w:lang w:val="zh-CN"/>
        </w:rPr>
        <w:t>7)</w:t>
      </w:r>
      <w:r>
        <w:rPr>
          <w:rFonts w:hint="eastAsia"/>
          <w:lang w:val="zh-CN"/>
        </w:rPr>
        <w:tab/>
      </w:r>
      <w:r>
        <w:rPr>
          <w:rFonts w:hint="eastAsia"/>
          <w:lang w:val="zh-CN"/>
        </w:rPr>
        <w:t>自动存储：用于切换存储模式，及变更存储间隔时间</w:t>
      </w:r>
    </w:p>
    <w:p w14:paraId="353FD43E">
      <w:pPr>
        <w:rPr>
          <w:lang w:val="zh-CN"/>
        </w:rPr>
      </w:pPr>
      <w:r>
        <w:rPr>
          <w:rFonts w:hint="eastAsia"/>
          <w:lang w:val="zh-CN"/>
        </w:rPr>
        <w:t>8)</w:t>
      </w:r>
      <w:r>
        <w:rPr>
          <w:rFonts w:hint="eastAsia"/>
          <w:lang w:val="zh-CN"/>
        </w:rPr>
        <w:tab/>
      </w:r>
      <w:r>
        <w:rPr>
          <w:rFonts w:hint="eastAsia"/>
          <w:lang w:val="zh-CN"/>
        </w:rPr>
        <w:t>日期时间：设置方法：按照年、月、日、小时、分钟、秒连续输入除年份为四位，其余均为两位，如6月则输入06；</w:t>
      </w:r>
    </w:p>
    <w:p w14:paraId="1E089406">
      <w:pPr>
        <w:rPr>
          <w:lang w:val="zh-CN"/>
        </w:rPr>
      </w:pPr>
      <w:r>
        <w:rPr>
          <w:lang w:val="zh-CN"/>
        </w:rPr>
        <w:t></w:t>
      </w:r>
      <w:r>
        <w:rPr>
          <w:lang w:val="zh-CN"/>
        </w:rPr>
        <w:tab/>
      </w:r>
      <w:r>
        <w:rPr>
          <w:rFonts w:hint="eastAsia"/>
          <w:lang w:val="zh-CN"/>
        </w:rPr>
        <w:t>例：时间为</w:t>
      </w:r>
      <w:r>
        <w:rPr>
          <w:lang w:val="zh-CN"/>
        </w:rPr>
        <w:t>2000</w:t>
      </w:r>
      <w:r>
        <w:rPr>
          <w:rFonts w:hint="eastAsia"/>
          <w:lang w:val="zh-CN"/>
        </w:rPr>
        <w:t>年</w:t>
      </w:r>
      <w:r>
        <w:rPr>
          <w:lang w:val="zh-CN"/>
        </w:rPr>
        <w:t>12</w:t>
      </w:r>
      <w:r>
        <w:rPr>
          <w:rFonts w:hint="eastAsia"/>
          <w:lang w:val="zh-CN"/>
        </w:rPr>
        <w:t>月</w:t>
      </w:r>
      <w:r>
        <w:rPr>
          <w:lang w:val="zh-CN"/>
        </w:rPr>
        <w:t>6</w:t>
      </w:r>
      <w:r>
        <w:rPr>
          <w:rFonts w:hint="eastAsia"/>
          <w:lang w:val="zh-CN"/>
        </w:rPr>
        <w:t>日</w:t>
      </w:r>
      <w:r>
        <w:rPr>
          <w:lang w:val="zh-CN"/>
        </w:rPr>
        <w:t>8</w:t>
      </w:r>
      <w:r>
        <w:rPr>
          <w:rFonts w:hint="eastAsia"/>
          <w:lang w:val="zh-CN"/>
        </w:rPr>
        <w:t>时</w:t>
      </w:r>
      <w:r>
        <w:rPr>
          <w:lang w:val="zh-CN"/>
        </w:rPr>
        <w:t>20</w:t>
      </w:r>
      <w:r>
        <w:rPr>
          <w:rFonts w:hint="eastAsia"/>
          <w:lang w:val="zh-CN"/>
        </w:rPr>
        <w:t>分</w:t>
      </w:r>
      <w:r>
        <w:rPr>
          <w:lang w:val="zh-CN"/>
        </w:rPr>
        <w:t>5</w:t>
      </w:r>
      <w:r>
        <w:rPr>
          <w:rFonts w:hint="eastAsia"/>
          <w:lang w:val="zh-CN"/>
        </w:rPr>
        <w:t>秒，则输入：</w:t>
      </w:r>
      <w:r>
        <w:rPr>
          <w:lang w:val="zh-CN"/>
        </w:rPr>
        <w:t>20001206082005</w:t>
      </w:r>
    </w:p>
    <w:p w14:paraId="362134A7">
      <w:pPr>
        <w:pStyle w:val="3"/>
      </w:pPr>
      <w:bookmarkStart w:id="21" w:name="_Toc165732926"/>
      <w:r>
        <w:rPr>
          <w:rFonts w:hint="eastAsia"/>
        </w:rPr>
        <w:t>7.7  内置探头参数设置</w:t>
      </w:r>
      <w:bookmarkEnd w:id="21"/>
    </w:p>
    <w:p w14:paraId="2F26898C">
      <w:pPr>
        <w:ind w:firstLine="420" w:firstLineChars="200"/>
        <w:rPr>
          <w:lang w:val="zh-CN"/>
        </w:rPr>
      </w:pPr>
      <w:r>
        <w:rPr>
          <w:rFonts w:hint="eastAsia"/>
          <w:lang w:val="zh-CN"/>
        </w:rPr>
        <w:t>用于内置探测器的参数设置，用户无需设置，单独主机使用时可进行剂量率报警及剂量报警设置。</w:t>
      </w:r>
    </w:p>
    <w:p w14:paraId="7466DB9F">
      <w:pPr>
        <w:ind w:firstLine="420" w:firstLineChars="200"/>
        <w:jc w:val="center"/>
        <w:rPr>
          <w:lang w:val="zh-CN"/>
        </w:rPr>
      </w:pPr>
      <w:r>
        <w:drawing>
          <wp:inline distT="0" distB="0" distL="114300" distR="114300">
            <wp:extent cx="1826895" cy="2466975"/>
            <wp:effectExtent l="0" t="0" r="1905" b="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31"/>
                    <a:stretch>
                      <a:fillRect/>
                    </a:stretch>
                  </pic:blipFill>
                  <pic:spPr>
                    <a:xfrm>
                      <a:off x="0" y="0"/>
                      <a:ext cx="1826895" cy="2466975"/>
                    </a:xfrm>
                    <a:prstGeom prst="rect">
                      <a:avLst/>
                    </a:prstGeom>
                    <a:noFill/>
                    <a:ln>
                      <a:noFill/>
                    </a:ln>
                  </pic:spPr>
                </pic:pic>
              </a:graphicData>
            </a:graphic>
          </wp:inline>
        </w:drawing>
      </w:r>
    </w:p>
    <w:p w14:paraId="76A2F0A1">
      <w:pPr>
        <w:ind w:firstLine="420" w:firstLineChars="200"/>
        <w:jc w:val="center"/>
        <w:rPr>
          <w:lang w:val="zh-CN"/>
        </w:rPr>
      </w:pPr>
      <w:bookmarkStart w:id="22" w:name="_Hlk163574815"/>
      <w:r>
        <w:rPr>
          <w:rFonts w:hint="eastAsia"/>
          <w:lang w:val="zh-CN"/>
        </w:rPr>
        <w:t>（图7）</w:t>
      </w:r>
      <w:bookmarkEnd w:id="22"/>
      <w:r>
        <w:rPr>
          <w:rFonts w:hint="eastAsia"/>
          <w:lang w:val="zh-CN"/>
        </w:rPr>
        <w:t xml:space="preserve"> 报警阈值设置界面</w:t>
      </w:r>
    </w:p>
    <w:p w14:paraId="5C9A9300">
      <w:pPr>
        <w:jc w:val="center"/>
        <w:rPr>
          <w:lang w:val="zh-CN"/>
        </w:rPr>
      </w:pPr>
      <w:r>
        <w:rPr>
          <w:rFonts w:hint="eastAsia"/>
          <w:lang w:val="zh-CN"/>
        </w:rPr>
        <w:t>剂量率报警1：1级报警阈值设置</w:t>
      </w:r>
    </w:p>
    <w:p w14:paraId="56FD9CD2">
      <w:pPr>
        <w:jc w:val="center"/>
        <w:rPr>
          <w:lang w:val="zh-CN"/>
        </w:rPr>
      </w:pPr>
      <w:r>
        <w:rPr>
          <w:rFonts w:hint="eastAsia"/>
          <w:lang w:val="zh-CN"/>
        </w:rPr>
        <w:t>剂量率报警2：2级报警阈值设置</w:t>
      </w:r>
    </w:p>
    <w:p w14:paraId="391360C2">
      <w:pPr>
        <w:jc w:val="center"/>
        <w:rPr>
          <w:lang w:val="zh-CN"/>
        </w:rPr>
      </w:pPr>
      <w:r>
        <w:rPr>
          <w:rFonts w:hint="eastAsia"/>
          <w:lang w:val="zh-CN"/>
        </w:rPr>
        <w:t>剂量报警1： 1级累积剂量报警</w:t>
      </w:r>
    </w:p>
    <w:p w14:paraId="769906E1">
      <w:pPr>
        <w:jc w:val="center"/>
        <w:rPr>
          <w:lang w:val="zh-CN"/>
        </w:rPr>
      </w:pPr>
      <w:r>
        <w:rPr>
          <w:rFonts w:hint="eastAsia"/>
          <w:lang w:val="zh-CN"/>
        </w:rPr>
        <w:t>剂量报警2:   2级累积剂量报警</w:t>
      </w:r>
    </w:p>
    <w:p w14:paraId="2865E224">
      <w:pPr>
        <w:ind w:firstLine="420" w:firstLineChars="200"/>
        <w:jc w:val="center"/>
        <w:rPr>
          <w:lang w:val="zh-CN"/>
        </w:rPr>
      </w:pPr>
      <w:r>
        <w:drawing>
          <wp:inline distT="0" distB="0" distL="114300" distR="114300">
            <wp:extent cx="1808480" cy="2439670"/>
            <wp:effectExtent l="0" t="0" r="1270" b="825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32"/>
                    <a:stretch>
                      <a:fillRect/>
                    </a:stretch>
                  </pic:blipFill>
                  <pic:spPr>
                    <a:xfrm>
                      <a:off x="0" y="0"/>
                      <a:ext cx="1808480" cy="2439670"/>
                    </a:xfrm>
                    <a:prstGeom prst="rect">
                      <a:avLst/>
                    </a:prstGeom>
                    <a:noFill/>
                    <a:ln>
                      <a:noFill/>
                    </a:ln>
                  </pic:spPr>
                </pic:pic>
              </a:graphicData>
            </a:graphic>
          </wp:inline>
        </w:drawing>
      </w:r>
      <w:r>
        <w:drawing>
          <wp:inline distT="0" distB="0" distL="114300" distR="114300">
            <wp:extent cx="1797050" cy="2429510"/>
            <wp:effectExtent l="0" t="0" r="3175" b="889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33"/>
                    <a:stretch>
                      <a:fillRect/>
                    </a:stretch>
                  </pic:blipFill>
                  <pic:spPr>
                    <a:xfrm>
                      <a:off x="0" y="0"/>
                      <a:ext cx="1797050" cy="2429510"/>
                    </a:xfrm>
                    <a:prstGeom prst="rect">
                      <a:avLst/>
                    </a:prstGeom>
                    <a:noFill/>
                    <a:ln>
                      <a:noFill/>
                    </a:ln>
                  </pic:spPr>
                </pic:pic>
              </a:graphicData>
            </a:graphic>
          </wp:inline>
        </w:drawing>
      </w:r>
    </w:p>
    <w:p w14:paraId="628F5A32">
      <w:pPr>
        <w:ind w:firstLine="420" w:firstLineChars="200"/>
        <w:jc w:val="center"/>
        <w:rPr>
          <w:lang w:val="zh-CN"/>
        </w:rPr>
      </w:pPr>
      <w:r>
        <w:rPr>
          <w:rFonts w:hint="eastAsia"/>
          <w:lang w:val="zh-CN"/>
        </w:rPr>
        <w:t>（图8）  内置探测器参数设置界面</w:t>
      </w:r>
    </w:p>
    <w:p w14:paraId="12CA2155">
      <w:pPr>
        <w:jc w:val="center"/>
        <w:rPr>
          <w:b/>
          <w:bCs/>
          <w:lang w:val="zh-CN"/>
        </w:rPr>
      </w:pPr>
      <w:r>
        <w:rPr>
          <w:rFonts w:hint="eastAsia"/>
          <w:b/>
          <w:bCs/>
          <w:lang w:val="zh-CN"/>
        </w:rPr>
        <w:t>注意：探测器设置界面请勿私自更改，会影响测量数据精准度！！！</w:t>
      </w:r>
    </w:p>
    <w:p w14:paraId="2EE71258">
      <w:pPr>
        <w:pStyle w:val="3"/>
      </w:pPr>
      <w:bookmarkStart w:id="23" w:name="_Toc165732927"/>
      <w:r>
        <w:rPr>
          <w:rFonts w:hint="eastAsia"/>
        </w:rPr>
        <w:t>7.8  外部探测器设置</w:t>
      </w:r>
      <w:bookmarkEnd w:id="23"/>
    </w:p>
    <w:p w14:paraId="2D1D5D8A">
      <w:pPr>
        <w:ind w:firstLine="420" w:firstLineChars="200"/>
        <w:rPr>
          <w:lang w:val="zh-CN"/>
        </w:rPr>
      </w:pPr>
      <w:r>
        <w:rPr>
          <w:rFonts w:hint="eastAsia"/>
          <w:lang w:val="zh-CN"/>
        </w:rPr>
        <w:t>当连接外部探测器时，需进行外部探测器设置，包括报警阈值设置和参数设置，在用户模式下，用户只开启报警阈值设置界面，无法查看探测器设置界面，</w:t>
      </w:r>
      <w:r>
        <w:rPr>
          <w:rFonts w:hint="eastAsia"/>
        </w:rPr>
        <w:t>管理</w:t>
      </w:r>
      <w:r>
        <w:rPr>
          <w:rFonts w:hint="eastAsia"/>
          <w:lang w:val="zh-CN"/>
        </w:rPr>
        <w:t>模式下可以开启探测器设置界面：</w:t>
      </w:r>
    </w:p>
    <w:p w14:paraId="7DA08185">
      <w:pPr>
        <w:jc w:val="center"/>
        <w:rPr>
          <w:lang w:val="zh-CN"/>
        </w:rPr>
      </w:pPr>
      <w:r>
        <w:drawing>
          <wp:inline distT="0" distB="0" distL="114300" distR="114300">
            <wp:extent cx="1985645" cy="2676525"/>
            <wp:effectExtent l="0" t="0" r="5080" b="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4"/>
                    <a:stretch>
                      <a:fillRect/>
                    </a:stretch>
                  </pic:blipFill>
                  <pic:spPr>
                    <a:xfrm>
                      <a:off x="0" y="0"/>
                      <a:ext cx="1985645" cy="2676525"/>
                    </a:xfrm>
                    <a:prstGeom prst="rect">
                      <a:avLst/>
                    </a:prstGeom>
                    <a:noFill/>
                    <a:ln>
                      <a:noFill/>
                    </a:ln>
                  </pic:spPr>
                </pic:pic>
              </a:graphicData>
            </a:graphic>
          </wp:inline>
        </w:drawing>
      </w:r>
    </w:p>
    <w:p w14:paraId="644767AB">
      <w:pPr>
        <w:jc w:val="center"/>
        <w:rPr>
          <w:lang w:val="zh-CN"/>
        </w:rPr>
      </w:pPr>
      <w:r>
        <w:rPr>
          <w:rFonts w:hint="eastAsia"/>
          <w:lang w:val="zh-CN"/>
        </w:rPr>
        <w:t>（图9）报警阈值设置</w:t>
      </w:r>
    </w:p>
    <w:p w14:paraId="041BBDCC">
      <w:pPr>
        <w:ind w:firstLine="420" w:firstLineChars="200"/>
        <w:rPr>
          <w:lang w:val="zh-CN"/>
        </w:rPr>
      </w:pPr>
      <w:r>
        <w:rPr>
          <w:rFonts w:hint="eastAsia"/>
          <w:lang w:val="zh-CN"/>
        </w:rPr>
        <w:t>外部探测器参数(X/γ剂量率)的设置；如图10所示：</w:t>
      </w:r>
    </w:p>
    <w:p w14:paraId="25F57EEE">
      <w:pPr>
        <w:jc w:val="center"/>
        <w:rPr>
          <w:lang w:val="zh-CN"/>
        </w:rPr>
      </w:pPr>
      <w:r>
        <w:drawing>
          <wp:inline distT="0" distB="0" distL="114300" distR="114300">
            <wp:extent cx="2024380" cy="2731770"/>
            <wp:effectExtent l="0" t="0" r="4445" b="1905"/>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35"/>
                    <a:stretch>
                      <a:fillRect/>
                    </a:stretch>
                  </pic:blipFill>
                  <pic:spPr>
                    <a:xfrm>
                      <a:off x="0" y="0"/>
                      <a:ext cx="2024380" cy="2731770"/>
                    </a:xfrm>
                    <a:prstGeom prst="rect">
                      <a:avLst/>
                    </a:prstGeom>
                    <a:noFill/>
                    <a:ln>
                      <a:noFill/>
                    </a:ln>
                  </pic:spPr>
                </pic:pic>
              </a:graphicData>
            </a:graphic>
          </wp:inline>
        </w:drawing>
      </w:r>
      <w:r>
        <w:drawing>
          <wp:inline distT="0" distB="0" distL="114300" distR="114300">
            <wp:extent cx="2023110" cy="2724785"/>
            <wp:effectExtent l="0" t="0" r="5715" b="889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6"/>
                    <a:stretch>
                      <a:fillRect/>
                    </a:stretch>
                  </pic:blipFill>
                  <pic:spPr>
                    <a:xfrm>
                      <a:off x="0" y="0"/>
                      <a:ext cx="2023110" cy="2724785"/>
                    </a:xfrm>
                    <a:prstGeom prst="rect">
                      <a:avLst/>
                    </a:prstGeom>
                    <a:noFill/>
                    <a:ln>
                      <a:noFill/>
                    </a:ln>
                  </pic:spPr>
                </pic:pic>
              </a:graphicData>
            </a:graphic>
          </wp:inline>
        </w:drawing>
      </w:r>
    </w:p>
    <w:p w14:paraId="382F56A6">
      <w:pPr>
        <w:jc w:val="center"/>
        <w:rPr>
          <w:lang w:val="zh-CN"/>
        </w:rPr>
      </w:pPr>
      <w:r>
        <w:rPr>
          <w:rFonts w:hint="eastAsia"/>
          <w:lang w:val="zh-CN"/>
        </w:rPr>
        <w:t>（图10） 测量状态设置界面</w:t>
      </w:r>
    </w:p>
    <w:p w14:paraId="417E5DFB">
      <w:pPr>
        <w:ind w:firstLine="420" w:firstLineChars="200"/>
        <w:rPr>
          <w:lang w:val="zh-CN"/>
        </w:rPr>
      </w:pPr>
      <w:r>
        <w:rPr>
          <w:rFonts w:hint="eastAsia"/>
          <w:lang w:val="zh-CN"/>
        </w:rPr>
        <w:t>外部探测器参数(α、β表面污染检测)的设置；如图11所示：</w:t>
      </w:r>
    </w:p>
    <w:p w14:paraId="20B46E78">
      <w:pPr>
        <w:jc w:val="center"/>
        <w:rPr>
          <w:lang w:val="zh-CN"/>
        </w:rPr>
      </w:pPr>
    </w:p>
    <w:p w14:paraId="7E8E14D9">
      <w:pPr>
        <w:jc w:val="center"/>
        <w:rPr>
          <w:lang w:val="zh-CN"/>
        </w:rPr>
      </w:pPr>
      <w:r>
        <w:drawing>
          <wp:inline distT="0" distB="0" distL="0" distR="0">
            <wp:extent cx="2213610" cy="2976245"/>
            <wp:effectExtent l="0" t="0" r="0" b="0"/>
            <wp:docPr id="667442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42974" name="图片 1"/>
                    <pic:cNvPicPr>
                      <a:picLocks noChangeAspect="1"/>
                    </pic:cNvPicPr>
                  </pic:nvPicPr>
                  <pic:blipFill>
                    <a:blip r:embed="rId37"/>
                    <a:stretch>
                      <a:fillRect/>
                    </a:stretch>
                  </pic:blipFill>
                  <pic:spPr>
                    <a:xfrm>
                      <a:off x="0" y="0"/>
                      <a:ext cx="2228138" cy="2995622"/>
                    </a:xfrm>
                    <a:prstGeom prst="rect">
                      <a:avLst/>
                    </a:prstGeom>
                  </pic:spPr>
                </pic:pic>
              </a:graphicData>
            </a:graphic>
          </wp:inline>
        </w:drawing>
      </w:r>
      <w:r>
        <w:rPr>
          <w:rFonts w:hint="eastAsia"/>
        </w:rPr>
        <w:t xml:space="preserve"> </w:t>
      </w:r>
      <w:r>
        <w:drawing>
          <wp:inline distT="0" distB="0" distL="0" distR="0">
            <wp:extent cx="2162810" cy="2976880"/>
            <wp:effectExtent l="0" t="0" r="0" b="0"/>
            <wp:docPr id="168661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10426" name="图片 1"/>
                    <pic:cNvPicPr>
                      <a:picLocks noChangeAspect="1"/>
                    </pic:cNvPicPr>
                  </pic:nvPicPr>
                  <pic:blipFill>
                    <a:blip r:embed="rId38"/>
                    <a:stretch>
                      <a:fillRect/>
                    </a:stretch>
                  </pic:blipFill>
                  <pic:spPr>
                    <a:xfrm>
                      <a:off x="0" y="0"/>
                      <a:ext cx="2162922" cy="2977200"/>
                    </a:xfrm>
                    <a:prstGeom prst="rect">
                      <a:avLst/>
                    </a:prstGeom>
                  </pic:spPr>
                </pic:pic>
              </a:graphicData>
            </a:graphic>
          </wp:inline>
        </w:drawing>
      </w:r>
    </w:p>
    <w:p w14:paraId="0BC065BB">
      <w:pPr>
        <w:jc w:val="center"/>
        <w:rPr>
          <w:lang w:val="zh-CN"/>
        </w:rPr>
      </w:pPr>
      <w:r>
        <w:rPr>
          <w:lang w:val="zh-CN"/>
        </w:rPr>
        <w:drawing>
          <wp:inline distT="0" distB="0" distL="0" distR="0">
            <wp:extent cx="2227580" cy="2976880"/>
            <wp:effectExtent l="0" t="0" r="0" b="0"/>
            <wp:docPr id="1740796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96388"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28007" cy="2977200"/>
                    </a:xfrm>
                    <a:prstGeom prst="rect">
                      <a:avLst/>
                    </a:prstGeom>
                    <a:noFill/>
                    <a:ln>
                      <a:noFill/>
                    </a:ln>
                  </pic:spPr>
                </pic:pic>
              </a:graphicData>
            </a:graphic>
          </wp:inline>
        </w:drawing>
      </w:r>
      <w:r>
        <w:rPr>
          <w:rFonts w:hint="eastAsia"/>
        </w:rPr>
        <w:t xml:space="preserve"> </w:t>
      </w:r>
      <w:r>
        <w:drawing>
          <wp:inline distT="0" distB="0" distL="0" distR="0">
            <wp:extent cx="2291080" cy="2976880"/>
            <wp:effectExtent l="0" t="0" r="0" b="0"/>
            <wp:docPr id="864948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48694" name="图片 1"/>
                    <pic:cNvPicPr>
                      <a:picLocks noChangeAspect="1"/>
                    </pic:cNvPicPr>
                  </pic:nvPicPr>
                  <pic:blipFill>
                    <a:blip r:embed="rId40"/>
                    <a:stretch>
                      <a:fillRect/>
                    </a:stretch>
                  </pic:blipFill>
                  <pic:spPr>
                    <a:xfrm>
                      <a:off x="0" y="0"/>
                      <a:ext cx="2291686" cy="2977200"/>
                    </a:xfrm>
                    <a:prstGeom prst="rect">
                      <a:avLst/>
                    </a:prstGeom>
                  </pic:spPr>
                </pic:pic>
              </a:graphicData>
            </a:graphic>
          </wp:inline>
        </w:drawing>
      </w:r>
    </w:p>
    <w:p w14:paraId="12091BB8">
      <w:pPr>
        <w:jc w:val="center"/>
        <w:rPr>
          <w:lang w:val="zh-CN"/>
        </w:rPr>
      </w:pPr>
      <w:r>
        <w:rPr>
          <w:rFonts w:hint="eastAsia"/>
          <w:lang w:val="zh-CN"/>
        </w:rPr>
        <w:t>（图11） 报警阈值和测量状态设置界面</w:t>
      </w:r>
    </w:p>
    <w:p w14:paraId="7050927C">
      <w:pPr>
        <w:rPr>
          <w:lang w:val="zh-CN"/>
        </w:rPr>
      </w:pPr>
      <w:r>
        <w:rPr>
          <w:rFonts w:hint="eastAsia"/>
          <w:lang w:val="zh-CN"/>
        </w:rPr>
        <w:t>图11中第三张图片的参数为探测器固有参数，除α道本底、β道本底可设置，其他参数无需调节和设置，第四张图中，比较器阈值，高压控制电压两个参数无需设置，其他可设置定义如下：</w:t>
      </w:r>
    </w:p>
    <w:p w14:paraId="4AB9F2E0">
      <w:pPr>
        <w:rPr>
          <w:lang w:val="zh-CN"/>
        </w:rPr>
      </w:pPr>
      <w:r>
        <w:rPr>
          <w:rFonts w:hint="eastAsia"/>
          <w:lang w:val="zh-CN"/>
        </w:rPr>
        <w:t>α道单位：进行单位切换，可选计数率单位也可选择活度或者比活度单位</w:t>
      </w:r>
    </w:p>
    <w:p w14:paraId="691899CD">
      <w:pPr>
        <w:rPr>
          <w:lang w:val="zh-CN"/>
        </w:rPr>
      </w:pPr>
      <w:r>
        <w:rPr>
          <w:rFonts w:hint="eastAsia"/>
          <w:lang w:val="zh-CN"/>
        </w:rPr>
        <w:t>β道单位：进行单位切换，可选计数率单位也可选择活度或者比活度单位</w:t>
      </w:r>
    </w:p>
    <w:p w14:paraId="6A33F4AE">
      <w:pPr>
        <w:rPr>
          <w:lang w:val="zh-CN"/>
        </w:rPr>
      </w:pPr>
      <w:r>
        <w:rPr>
          <w:rFonts w:hint="eastAsia"/>
          <w:lang w:val="zh-CN"/>
        </w:rPr>
        <w:t>α道核素：进行测量核素选择，可根据不同核素切换不同的效率因子</w:t>
      </w:r>
    </w:p>
    <w:p w14:paraId="0C8D4708">
      <w:pPr>
        <w:rPr>
          <w:lang w:val="zh-CN"/>
        </w:rPr>
      </w:pPr>
      <w:r>
        <w:rPr>
          <w:rFonts w:hint="eastAsia"/>
          <w:lang w:val="zh-CN"/>
        </w:rPr>
        <w:t>β道核素：进行测量核素选择，可根据不同核素切换不同的效率因子</w:t>
      </w:r>
    </w:p>
    <w:p w14:paraId="572F8394">
      <w:pPr>
        <w:rPr>
          <w:lang w:val="zh-CN"/>
        </w:rPr>
      </w:pPr>
      <w:r>
        <w:rPr>
          <w:rFonts w:hint="eastAsia"/>
          <w:lang w:val="zh-CN"/>
        </w:rPr>
        <w:t>α道核素因子：未知核素或自定义核素，可在此界面设置效率因子</w:t>
      </w:r>
    </w:p>
    <w:p w14:paraId="53A0D93B">
      <w:pPr>
        <w:rPr>
          <w:lang w:val="zh-CN"/>
        </w:rPr>
      </w:pPr>
      <w:r>
        <w:rPr>
          <w:rFonts w:hint="eastAsia"/>
          <w:lang w:val="zh-CN"/>
        </w:rPr>
        <w:t>β道核素因子：未知核素或自定义核素，可在此界面设置效率因子</w:t>
      </w:r>
    </w:p>
    <w:p w14:paraId="0EBE844A">
      <w:pPr>
        <w:rPr>
          <w:lang w:val="zh-CN"/>
        </w:rPr>
      </w:pPr>
      <w:r>
        <w:rPr>
          <w:rFonts w:hint="eastAsia"/>
          <w:lang w:val="zh-CN"/>
        </w:rPr>
        <w:t>α道报警阈值1：设置α道一级报警阈值</w:t>
      </w:r>
    </w:p>
    <w:p w14:paraId="11B6AE06">
      <w:pPr>
        <w:rPr>
          <w:lang w:val="zh-CN"/>
        </w:rPr>
      </w:pPr>
      <w:r>
        <w:rPr>
          <w:rFonts w:hint="eastAsia"/>
          <w:lang w:val="zh-CN"/>
        </w:rPr>
        <w:t>α道报警阈值2：设置α道二级报警阈值</w:t>
      </w:r>
    </w:p>
    <w:p w14:paraId="6E68308F">
      <w:pPr>
        <w:rPr>
          <w:lang w:val="zh-CN"/>
        </w:rPr>
      </w:pPr>
      <w:r>
        <w:rPr>
          <w:rFonts w:hint="eastAsia"/>
          <w:lang w:val="zh-CN"/>
        </w:rPr>
        <w:t>β道报警阈值1：设置β道一级报警阈值</w:t>
      </w:r>
    </w:p>
    <w:p w14:paraId="06D65BFE">
      <w:pPr>
        <w:rPr>
          <w:lang w:val="zh-CN"/>
        </w:rPr>
      </w:pPr>
      <w:r>
        <w:rPr>
          <w:rFonts w:hint="eastAsia"/>
          <w:lang w:val="zh-CN"/>
        </w:rPr>
        <w:t>β道报警阈值2：设置β道二级报警阈值</w:t>
      </w:r>
    </w:p>
    <w:p w14:paraId="005B0BE9">
      <w:pPr>
        <w:pStyle w:val="3"/>
      </w:pPr>
      <w:bookmarkStart w:id="24" w:name="_Toc165732928"/>
      <w:r>
        <w:rPr>
          <w:rFonts w:hint="eastAsia"/>
        </w:rPr>
        <w:t>7.9  存储设置界面</w:t>
      </w:r>
      <w:bookmarkEnd w:id="24"/>
    </w:p>
    <w:p w14:paraId="334ED0C0">
      <w:pPr>
        <w:ind w:firstLine="420" w:firstLineChars="200"/>
        <w:rPr>
          <w:lang w:val="zh-CN"/>
        </w:rPr>
      </w:pPr>
      <w:r>
        <w:rPr>
          <w:rFonts w:hint="eastAsia"/>
          <w:lang w:val="zh-CN"/>
        </w:rPr>
        <w:t>仪器可存储20000组以上数据，通过仪器和电脑上位机软件均可读取仪器中的存储数据。通过“查看历史记录”功能查看当前仪器已存储的数据（见图12、13），每页显示一组存储数据，通过上下键可循环查看。当仪器和打印机连接时，通过“Print”功能可打印当前数据；通过“删除历史数据”功能清除仪器中的存储数据。</w:t>
      </w:r>
    </w:p>
    <w:p w14:paraId="6DC38AD9">
      <w:pPr>
        <w:jc w:val="center"/>
        <w:rPr>
          <w:lang w:val="zh-CN"/>
        </w:rPr>
      </w:pPr>
      <w:r>
        <w:drawing>
          <wp:inline distT="0" distB="0" distL="114300" distR="114300">
            <wp:extent cx="1848485" cy="2507615"/>
            <wp:effectExtent l="0" t="0" r="0" b="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41"/>
                    <a:stretch>
                      <a:fillRect/>
                    </a:stretch>
                  </pic:blipFill>
                  <pic:spPr>
                    <a:xfrm>
                      <a:off x="0" y="0"/>
                      <a:ext cx="1852556" cy="2512528"/>
                    </a:xfrm>
                    <a:prstGeom prst="rect">
                      <a:avLst/>
                    </a:prstGeom>
                    <a:noFill/>
                    <a:ln>
                      <a:noFill/>
                    </a:ln>
                  </pic:spPr>
                </pic:pic>
              </a:graphicData>
            </a:graphic>
          </wp:inline>
        </w:drawing>
      </w:r>
    </w:p>
    <w:p w14:paraId="68ABD143">
      <w:pPr>
        <w:jc w:val="center"/>
        <w:rPr>
          <w:lang w:val="zh-CN"/>
        </w:rPr>
      </w:pPr>
      <w:r>
        <w:rPr>
          <w:rFonts w:hint="eastAsia"/>
          <w:lang w:val="zh-CN"/>
        </w:rPr>
        <w:t>（图12）  存储设置界面</w:t>
      </w:r>
    </w:p>
    <w:p w14:paraId="5435749C">
      <w:pPr>
        <w:jc w:val="center"/>
        <w:rPr>
          <w:lang w:val="zh-CN"/>
        </w:rPr>
      </w:pPr>
      <w:r>
        <w:drawing>
          <wp:inline distT="0" distB="0" distL="114300" distR="114300">
            <wp:extent cx="2157730" cy="2914015"/>
            <wp:effectExtent l="0" t="0" r="0" b="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42"/>
                    <a:stretch>
                      <a:fillRect/>
                    </a:stretch>
                  </pic:blipFill>
                  <pic:spPr>
                    <a:xfrm>
                      <a:off x="0" y="0"/>
                      <a:ext cx="2159962" cy="2916446"/>
                    </a:xfrm>
                    <a:prstGeom prst="rect">
                      <a:avLst/>
                    </a:prstGeom>
                    <a:noFill/>
                    <a:ln>
                      <a:noFill/>
                    </a:ln>
                  </pic:spPr>
                </pic:pic>
              </a:graphicData>
            </a:graphic>
          </wp:inline>
        </w:drawing>
      </w:r>
    </w:p>
    <w:p w14:paraId="4B51E756">
      <w:pPr>
        <w:jc w:val="center"/>
        <w:rPr>
          <w:lang w:val="zh-CN"/>
        </w:rPr>
      </w:pPr>
      <w:r>
        <w:rPr>
          <w:rFonts w:hint="eastAsia"/>
          <w:lang w:val="zh-CN"/>
        </w:rPr>
        <w:t>（图13）  查看存储界面</w:t>
      </w:r>
    </w:p>
    <w:p w14:paraId="036EFEF7">
      <w:pPr>
        <w:pStyle w:val="3"/>
      </w:pPr>
      <w:bookmarkStart w:id="25" w:name="_Toc165732929"/>
      <w:r>
        <w:rPr>
          <w:rFonts w:hint="eastAsia"/>
        </w:rPr>
        <w:t>7.10 关于本机</w:t>
      </w:r>
      <w:bookmarkEnd w:id="25"/>
    </w:p>
    <w:p w14:paraId="458CCF53">
      <w:pPr>
        <w:ind w:firstLine="420" w:firstLineChars="200"/>
        <w:rPr>
          <w:lang w:val="zh-CN"/>
        </w:rPr>
      </w:pPr>
      <w:r>
        <w:rPr>
          <w:rFonts w:hint="eastAsia"/>
          <w:lang w:val="zh-CN"/>
        </w:rPr>
        <w:t>关于本机中可以查看探测器的型号版本号等信息，同时可以根据售后电话进行联系及时了解版本更新情况和售后方式。</w:t>
      </w:r>
    </w:p>
    <w:p w14:paraId="33A06EB3">
      <w:pPr>
        <w:jc w:val="center"/>
        <w:rPr>
          <w:lang w:val="zh-CN"/>
        </w:rPr>
      </w:pPr>
      <w:r>
        <w:drawing>
          <wp:inline distT="0" distB="0" distL="114300" distR="114300">
            <wp:extent cx="2562860" cy="3439795"/>
            <wp:effectExtent l="0" t="0" r="8890" b="8255"/>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1"/>
                    </pic:cNvPicPr>
                  </pic:nvPicPr>
                  <pic:blipFill>
                    <a:blip r:embed="rId43"/>
                    <a:stretch>
                      <a:fillRect/>
                    </a:stretch>
                  </pic:blipFill>
                  <pic:spPr>
                    <a:xfrm>
                      <a:off x="0" y="0"/>
                      <a:ext cx="2567319" cy="3445392"/>
                    </a:xfrm>
                    <a:prstGeom prst="rect">
                      <a:avLst/>
                    </a:prstGeom>
                    <a:noFill/>
                    <a:ln>
                      <a:noFill/>
                    </a:ln>
                  </pic:spPr>
                </pic:pic>
              </a:graphicData>
            </a:graphic>
          </wp:inline>
        </w:drawing>
      </w:r>
    </w:p>
    <w:p w14:paraId="07D41B1E">
      <w:pPr>
        <w:jc w:val="center"/>
        <w:rPr>
          <w:lang w:val="zh-CN"/>
        </w:rPr>
      </w:pPr>
      <w:r>
        <w:rPr>
          <w:rFonts w:hint="eastAsia"/>
          <w:lang w:val="zh-CN"/>
        </w:rPr>
        <w:t>（图14） 系统设置界面</w:t>
      </w:r>
    </w:p>
    <w:p w14:paraId="75E09DD0">
      <w:pPr>
        <w:pStyle w:val="2"/>
      </w:pPr>
      <w:bookmarkStart w:id="26" w:name="_Toc165732930"/>
      <w:r>
        <w:rPr>
          <w:rFonts w:hint="eastAsia"/>
        </w:rPr>
        <w:t>8</w:t>
      </w:r>
      <w:r>
        <w:t>、故障分析与排除</w:t>
      </w:r>
      <w:bookmarkEnd w:id="26"/>
    </w:p>
    <w:p w14:paraId="28AF31B0">
      <w:pPr>
        <w:spacing w:line="400" w:lineRule="exact"/>
        <w:ind w:firstLine="420" w:firstLineChars="200"/>
      </w:pPr>
      <w:r>
        <w:t>仪器若出现故障，具体解决方法见表1：</w:t>
      </w:r>
    </w:p>
    <w:p w14:paraId="72FBC00C">
      <w:pPr>
        <w:ind w:firstLine="360"/>
        <w:jc w:val="center"/>
        <w:rPr>
          <w:sz w:val="18"/>
          <w:szCs w:val="18"/>
        </w:rPr>
      </w:pPr>
      <w:r>
        <w:rPr>
          <w:sz w:val="18"/>
          <w:szCs w:val="18"/>
        </w:rPr>
        <w:t>表1 常见故障及解决方法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50"/>
        <w:gridCol w:w="3346"/>
        <w:gridCol w:w="1354"/>
      </w:tblGrid>
      <w:tr w14:paraId="7E03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14:paraId="31341638">
            <w:pPr>
              <w:ind w:firstLine="360"/>
              <w:jc w:val="center"/>
              <w:rPr>
                <w:sz w:val="18"/>
                <w:szCs w:val="18"/>
              </w:rPr>
            </w:pPr>
            <w:r>
              <w:rPr>
                <w:sz w:val="18"/>
                <w:szCs w:val="18"/>
              </w:rPr>
              <w:t>故障现象</w:t>
            </w:r>
          </w:p>
        </w:tc>
        <w:tc>
          <w:tcPr>
            <w:tcW w:w="2350" w:type="dxa"/>
            <w:vAlign w:val="center"/>
          </w:tcPr>
          <w:p w14:paraId="0A2665D9">
            <w:pPr>
              <w:ind w:firstLine="360"/>
              <w:jc w:val="center"/>
              <w:rPr>
                <w:sz w:val="18"/>
                <w:szCs w:val="18"/>
              </w:rPr>
            </w:pPr>
            <w:r>
              <w:rPr>
                <w:sz w:val="18"/>
                <w:szCs w:val="18"/>
              </w:rPr>
              <w:t>故障分析</w:t>
            </w:r>
          </w:p>
        </w:tc>
        <w:tc>
          <w:tcPr>
            <w:tcW w:w="3346" w:type="dxa"/>
            <w:vAlign w:val="center"/>
          </w:tcPr>
          <w:p w14:paraId="10CF4608">
            <w:pPr>
              <w:ind w:firstLine="360"/>
              <w:jc w:val="center"/>
              <w:rPr>
                <w:sz w:val="18"/>
                <w:szCs w:val="18"/>
              </w:rPr>
            </w:pPr>
            <w:r>
              <w:rPr>
                <w:sz w:val="18"/>
                <w:szCs w:val="18"/>
              </w:rPr>
              <w:t>排除方法</w:t>
            </w:r>
          </w:p>
        </w:tc>
        <w:tc>
          <w:tcPr>
            <w:tcW w:w="1354" w:type="dxa"/>
            <w:vAlign w:val="center"/>
          </w:tcPr>
          <w:p w14:paraId="6C660E59">
            <w:pPr>
              <w:jc w:val="center"/>
            </w:pPr>
            <w:r>
              <w:t>备注</w:t>
            </w:r>
          </w:p>
        </w:tc>
      </w:tr>
      <w:tr w14:paraId="0585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14:paraId="3F379AD4">
            <w:pPr>
              <w:ind w:firstLine="360"/>
              <w:jc w:val="center"/>
              <w:rPr>
                <w:sz w:val="18"/>
                <w:szCs w:val="18"/>
              </w:rPr>
            </w:pPr>
            <w:r>
              <w:rPr>
                <w:sz w:val="18"/>
                <w:szCs w:val="18"/>
              </w:rPr>
              <w:t>没有测量显示</w:t>
            </w:r>
          </w:p>
        </w:tc>
        <w:tc>
          <w:tcPr>
            <w:tcW w:w="2350" w:type="dxa"/>
            <w:vAlign w:val="center"/>
          </w:tcPr>
          <w:p w14:paraId="6B46D93B">
            <w:pPr>
              <w:ind w:firstLine="360"/>
              <w:jc w:val="center"/>
              <w:rPr>
                <w:sz w:val="18"/>
                <w:szCs w:val="18"/>
              </w:rPr>
            </w:pPr>
            <w:r>
              <w:rPr>
                <w:sz w:val="18"/>
                <w:szCs w:val="18"/>
              </w:rPr>
              <w:t>可能是电池安装不正确或电池没电</w:t>
            </w:r>
          </w:p>
        </w:tc>
        <w:tc>
          <w:tcPr>
            <w:tcW w:w="3346" w:type="dxa"/>
            <w:vAlign w:val="center"/>
          </w:tcPr>
          <w:p w14:paraId="2407B965">
            <w:pPr>
              <w:ind w:firstLine="360"/>
              <w:jc w:val="center"/>
              <w:rPr>
                <w:sz w:val="18"/>
                <w:szCs w:val="18"/>
              </w:rPr>
            </w:pPr>
            <w:r>
              <w:rPr>
                <w:sz w:val="18"/>
                <w:szCs w:val="18"/>
              </w:rPr>
              <w:t>重新安装或更换电池</w:t>
            </w:r>
          </w:p>
        </w:tc>
        <w:tc>
          <w:tcPr>
            <w:tcW w:w="1354" w:type="dxa"/>
            <w:vAlign w:val="center"/>
          </w:tcPr>
          <w:p w14:paraId="710509AC">
            <w:pPr>
              <w:jc w:val="center"/>
            </w:pPr>
          </w:p>
        </w:tc>
      </w:tr>
      <w:tr w14:paraId="46B0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14:paraId="49CE7E66">
            <w:pPr>
              <w:ind w:firstLine="360"/>
              <w:jc w:val="center"/>
              <w:rPr>
                <w:sz w:val="18"/>
                <w:szCs w:val="18"/>
              </w:rPr>
            </w:pPr>
            <w:r>
              <w:rPr>
                <w:sz w:val="18"/>
                <w:szCs w:val="18"/>
              </w:rPr>
              <w:t>本底环境下计数过大</w:t>
            </w:r>
          </w:p>
        </w:tc>
        <w:tc>
          <w:tcPr>
            <w:tcW w:w="2350" w:type="dxa"/>
            <w:vAlign w:val="center"/>
          </w:tcPr>
          <w:p w14:paraId="7A44D3B1">
            <w:pPr>
              <w:jc w:val="center"/>
              <w:rPr>
                <w:sz w:val="18"/>
                <w:szCs w:val="18"/>
              </w:rPr>
            </w:pPr>
            <w:r>
              <w:rPr>
                <w:sz w:val="18"/>
                <w:szCs w:val="18"/>
              </w:rPr>
              <w:t>仪器内部由于撞击导致接线不牢固或γ辐射过强</w:t>
            </w:r>
          </w:p>
        </w:tc>
        <w:tc>
          <w:tcPr>
            <w:tcW w:w="3346" w:type="dxa"/>
            <w:vAlign w:val="center"/>
          </w:tcPr>
          <w:p w14:paraId="2CB49C91">
            <w:pPr>
              <w:ind w:firstLine="360"/>
              <w:jc w:val="center"/>
              <w:rPr>
                <w:sz w:val="18"/>
                <w:szCs w:val="18"/>
              </w:rPr>
            </w:pPr>
            <w:r>
              <w:rPr>
                <w:sz w:val="18"/>
                <w:szCs w:val="18"/>
              </w:rPr>
              <w:t>请换至其他区域测量本底检查仪器内部是否出问题</w:t>
            </w:r>
          </w:p>
        </w:tc>
        <w:tc>
          <w:tcPr>
            <w:tcW w:w="1354" w:type="dxa"/>
            <w:vAlign w:val="center"/>
          </w:tcPr>
          <w:p w14:paraId="25DE6B92">
            <w:pPr>
              <w:jc w:val="center"/>
            </w:pPr>
          </w:p>
        </w:tc>
      </w:tr>
    </w:tbl>
    <w:p w14:paraId="4CC7F46C"/>
    <w:p w14:paraId="275198AC">
      <w:pPr>
        <w:pStyle w:val="2"/>
      </w:pPr>
      <w:bookmarkStart w:id="27" w:name="_Toc165732931"/>
      <w:r>
        <w:rPr>
          <w:rFonts w:hint="eastAsia"/>
        </w:rPr>
        <w:t>9</w:t>
      </w:r>
      <w:r>
        <w:t>、保养、校准</w:t>
      </w:r>
      <w:bookmarkEnd w:id="27"/>
    </w:p>
    <w:p w14:paraId="54C8E9F8">
      <w:pPr>
        <w:pStyle w:val="21"/>
        <w:numPr>
          <w:ilvl w:val="0"/>
          <w:numId w:val="5"/>
        </w:numPr>
        <w:spacing w:line="400" w:lineRule="exact"/>
        <w:ind w:left="0" w:firstLine="420"/>
        <w:contextualSpacing/>
        <w:rPr>
          <w:b/>
        </w:rPr>
      </w:pPr>
      <w:r>
        <w:rPr>
          <w:rFonts w:hAnsi="宋体"/>
          <w:szCs w:val="21"/>
        </w:rPr>
        <w:t>使用过程中应避免外力冲击，以免造成仪器内部电路或探测器的损坏</w:t>
      </w:r>
      <w:r>
        <w:rPr>
          <w:rFonts w:hint="eastAsia" w:hAnsi="宋体"/>
          <w:szCs w:val="21"/>
        </w:rPr>
        <w:t>；</w:t>
      </w:r>
    </w:p>
    <w:p w14:paraId="2B09A183">
      <w:pPr>
        <w:pStyle w:val="21"/>
        <w:numPr>
          <w:ilvl w:val="0"/>
          <w:numId w:val="5"/>
        </w:numPr>
        <w:spacing w:line="400" w:lineRule="exact"/>
        <w:ind w:left="0" w:firstLine="420"/>
        <w:contextualSpacing/>
        <w:rPr>
          <w:szCs w:val="21"/>
        </w:rPr>
      </w:pPr>
      <w:r>
        <w:rPr>
          <w:rFonts w:hAnsi="宋体"/>
          <w:szCs w:val="21"/>
        </w:rPr>
        <w:t>请勿在超出温度允许范围内使用或存放</w:t>
      </w:r>
      <w:r>
        <w:rPr>
          <w:rFonts w:hint="eastAsia" w:hAnsi="宋体"/>
          <w:szCs w:val="21"/>
        </w:rPr>
        <w:t>；</w:t>
      </w:r>
    </w:p>
    <w:p w14:paraId="584D18B8">
      <w:pPr>
        <w:pStyle w:val="21"/>
        <w:numPr>
          <w:ilvl w:val="0"/>
          <w:numId w:val="5"/>
        </w:numPr>
        <w:spacing w:line="400" w:lineRule="exact"/>
        <w:ind w:left="0" w:firstLine="420"/>
        <w:contextualSpacing/>
        <w:rPr>
          <w:szCs w:val="21"/>
        </w:rPr>
      </w:pPr>
      <w:r>
        <w:rPr>
          <w:rFonts w:hAnsi="宋体"/>
          <w:szCs w:val="21"/>
        </w:rPr>
        <w:t>仪器需要去污时，请使用专业去污剂小心擦拭，须避免液体进入仪器内部</w:t>
      </w:r>
      <w:r>
        <w:rPr>
          <w:rFonts w:hint="eastAsia" w:hAnsi="宋体"/>
          <w:szCs w:val="21"/>
        </w:rPr>
        <w:t>；</w:t>
      </w:r>
    </w:p>
    <w:p w14:paraId="2CA4442B">
      <w:pPr>
        <w:pStyle w:val="21"/>
        <w:numPr>
          <w:ilvl w:val="0"/>
          <w:numId w:val="5"/>
        </w:numPr>
        <w:spacing w:line="400" w:lineRule="exact"/>
        <w:ind w:left="0" w:firstLine="420"/>
        <w:contextualSpacing/>
        <w:rPr>
          <w:szCs w:val="21"/>
        </w:rPr>
      </w:pPr>
      <w:r>
        <w:rPr>
          <w:rFonts w:hAnsi="宋体"/>
          <w:szCs w:val="21"/>
        </w:rPr>
        <w:t>仪器应依照国家规定定期检定</w:t>
      </w:r>
      <w:r>
        <w:rPr>
          <w:rFonts w:hint="eastAsia" w:hAnsi="宋体"/>
          <w:szCs w:val="21"/>
        </w:rPr>
        <w:t>；</w:t>
      </w:r>
    </w:p>
    <w:p w14:paraId="48E15D30">
      <w:pPr>
        <w:pStyle w:val="21"/>
        <w:numPr>
          <w:ilvl w:val="0"/>
          <w:numId w:val="5"/>
        </w:numPr>
        <w:spacing w:line="400" w:lineRule="exact"/>
        <w:ind w:left="0" w:firstLine="420"/>
        <w:contextualSpacing/>
        <w:rPr>
          <w:szCs w:val="21"/>
        </w:rPr>
      </w:pPr>
      <w:r>
        <w:rPr>
          <w:rFonts w:hAnsi="宋体"/>
          <w:szCs w:val="21"/>
        </w:rPr>
        <w:t>若仪器发生故障，请联系厂家进行维修和检测，勿自行拆机</w:t>
      </w:r>
      <w:r>
        <w:rPr>
          <w:rFonts w:hint="eastAsia" w:hAnsi="宋体"/>
          <w:szCs w:val="21"/>
        </w:rPr>
        <w:t>；</w:t>
      </w:r>
    </w:p>
    <w:p w14:paraId="4F10C6B3">
      <w:pPr>
        <w:pStyle w:val="21"/>
        <w:numPr>
          <w:ilvl w:val="0"/>
          <w:numId w:val="5"/>
        </w:numPr>
        <w:spacing w:line="400" w:lineRule="exact"/>
        <w:ind w:left="0" w:firstLine="420"/>
        <w:contextualSpacing/>
        <w:rPr>
          <w:szCs w:val="21"/>
        </w:rPr>
      </w:pPr>
      <w:r>
        <w:rPr>
          <w:rFonts w:hAnsi="宋体"/>
          <w:szCs w:val="21"/>
        </w:rPr>
        <w:t>仪器</w:t>
      </w:r>
      <w:r>
        <w:rPr>
          <w:szCs w:val="21"/>
        </w:rPr>
        <w:t>(</w:t>
      </w:r>
      <w:r>
        <w:rPr>
          <w:rFonts w:hAnsi="宋体"/>
          <w:szCs w:val="21"/>
        </w:rPr>
        <w:t>主机</w:t>
      </w:r>
      <w:r>
        <w:rPr>
          <w:szCs w:val="21"/>
        </w:rPr>
        <w:t>)</w:t>
      </w:r>
      <w:r>
        <w:rPr>
          <w:rFonts w:hAnsi="宋体"/>
          <w:szCs w:val="21"/>
        </w:rPr>
        <w:t>在长期不用时应取出电池，并妥善保存</w:t>
      </w:r>
      <w:r>
        <w:rPr>
          <w:rFonts w:hint="eastAsia" w:hAnsi="宋体"/>
          <w:szCs w:val="21"/>
        </w:rPr>
        <w:t>。</w:t>
      </w:r>
    </w:p>
    <w:p w14:paraId="1FB8AD76"/>
    <w:p w14:paraId="78D8BCB6">
      <w:pPr>
        <w:pStyle w:val="2"/>
      </w:pPr>
      <w:bookmarkStart w:id="28" w:name="_Toc165732932"/>
      <w:r>
        <w:rPr>
          <w:rFonts w:hint="eastAsia"/>
        </w:rPr>
        <w:t>1</w:t>
      </w:r>
      <w:r>
        <w:t>0、运输储存开箱及开箱检查</w:t>
      </w:r>
      <w:bookmarkEnd w:id="28"/>
    </w:p>
    <w:p w14:paraId="5D298444">
      <w:pPr>
        <w:spacing w:line="400" w:lineRule="exact"/>
        <w:ind w:firstLine="420"/>
        <w:rPr>
          <w:szCs w:val="21"/>
        </w:rPr>
      </w:pPr>
      <w:r>
        <w:rPr>
          <w:szCs w:val="21"/>
        </w:rPr>
        <w:t>在外包装条件下，允许仪表以汽车、火车、飞机、轮船等任何方式运输。在制造厂包装条件下、温度在-41℃~50℃范围内、不带电池存储。开箱仪器成套及附件数量正常，仪表上有仪器名称、型号、编号及制造厂商标志。</w:t>
      </w:r>
    </w:p>
    <w:p w14:paraId="5C0B239F">
      <w:pPr>
        <w:pStyle w:val="2"/>
      </w:pPr>
      <w:bookmarkStart w:id="29" w:name="_Toc165732933"/>
      <w:r>
        <w:rPr>
          <w:rFonts w:hint="eastAsia"/>
        </w:rPr>
        <w:t>1</w:t>
      </w:r>
      <w:r>
        <w:t>1、仪器成套及附件</w:t>
      </w:r>
      <w:bookmarkEnd w:id="29"/>
    </w:p>
    <w:p w14:paraId="49CB8CE9">
      <w:pPr>
        <w:spacing w:line="400" w:lineRule="exact"/>
        <w:ind w:firstLine="502"/>
        <w:jc w:val="left"/>
        <w:rPr>
          <w:bCs/>
          <w:spacing w:val="20"/>
          <w:szCs w:val="21"/>
        </w:rPr>
      </w:pPr>
      <w:r>
        <w:rPr>
          <w:rFonts w:hint="eastAsia" w:hAnsi="宋体"/>
          <w:bCs/>
          <w:spacing w:val="20"/>
          <w:szCs w:val="21"/>
        </w:rPr>
        <w:t>仪器成套及附件含</w:t>
      </w:r>
      <w:r>
        <w:rPr>
          <w:rFonts w:hAnsi="宋体"/>
          <w:bCs/>
          <w:spacing w:val="20"/>
          <w:szCs w:val="21"/>
        </w:rPr>
        <w:t>：</w:t>
      </w:r>
    </w:p>
    <w:p w14:paraId="477CE484">
      <w:pPr>
        <w:pStyle w:val="21"/>
        <w:numPr>
          <w:ilvl w:val="0"/>
          <w:numId w:val="6"/>
        </w:numPr>
        <w:tabs>
          <w:tab w:val="left" w:pos="851"/>
          <w:tab w:val="left" w:pos="5387"/>
        </w:tabs>
        <w:spacing w:line="400" w:lineRule="exact"/>
        <w:ind w:left="0" w:firstLine="420"/>
        <w:contextualSpacing/>
        <w:rPr>
          <w:szCs w:val="21"/>
        </w:rPr>
      </w:pPr>
      <w:r>
        <w:rPr>
          <w:szCs w:val="21"/>
        </w:rPr>
        <w:t>α</w:t>
      </w:r>
      <w:r>
        <w:rPr>
          <w:rFonts w:hint="eastAsia"/>
          <w:szCs w:val="21"/>
        </w:rPr>
        <w:t>、β表面污染检测仪主机</w:t>
      </w:r>
      <w:r>
        <w:rPr>
          <w:rFonts w:hint="eastAsia"/>
          <w:szCs w:val="21"/>
        </w:rPr>
        <w:tab/>
      </w:r>
      <w:r>
        <w:rPr>
          <w:szCs w:val="21"/>
        </w:rPr>
        <w:t>1台</w:t>
      </w:r>
    </w:p>
    <w:p w14:paraId="1BE6225E">
      <w:pPr>
        <w:pStyle w:val="21"/>
        <w:numPr>
          <w:ilvl w:val="0"/>
          <w:numId w:val="6"/>
        </w:numPr>
        <w:tabs>
          <w:tab w:val="left" w:pos="851"/>
          <w:tab w:val="left" w:pos="5387"/>
        </w:tabs>
        <w:spacing w:line="400" w:lineRule="exact"/>
        <w:ind w:left="0" w:firstLine="420"/>
        <w:contextualSpacing/>
        <w:rPr>
          <w:szCs w:val="21"/>
        </w:rPr>
      </w:pPr>
      <w:r>
        <w:rPr>
          <w:szCs w:val="21"/>
        </w:rPr>
        <w:t>α</w:t>
      </w:r>
      <w:r>
        <w:rPr>
          <w:rFonts w:hint="eastAsia"/>
          <w:szCs w:val="21"/>
        </w:rPr>
        <w:t>、β表面污染检测仪探测器</w:t>
      </w:r>
      <w:r>
        <w:rPr>
          <w:rFonts w:hint="eastAsia"/>
        </w:rPr>
        <w:tab/>
      </w:r>
      <w:r>
        <w:rPr>
          <w:szCs w:val="21"/>
        </w:rPr>
        <w:t>1台</w:t>
      </w:r>
    </w:p>
    <w:p w14:paraId="3C22B68F">
      <w:pPr>
        <w:pStyle w:val="21"/>
        <w:numPr>
          <w:ilvl w:val="0"/>
          <w:numId w:val="6"/>
        </w:numPr>
        <w:tabs>
          <w:tab w:val="left" w:pos="851"/>
          <w:tab w:val="left" w:pos="5387"/>
        </w:tabs>
        <w:spacing w:line="400" w:lineRule="exact"/>
        <w:ind w:left="0" w:firstLine="420"/>
        <w:contextualSpacing/>
        <w:rPr>
          <w:szCs w:val="21"/>
        </w:rPr>
      </w:pPr>
      <w:r>
        <w:rPr>
          <w:rFonts w:hint="eastAsia"/>
          <w:szCs w:val="21"/>
        </w:rPr>
        <w:t xml:space="preserve">连接线 </w:t>
      </w:r>
      <w:r>
        <w:rPr>
          <w:szCs w:val="21"/>
        </w:rPr>
        <w:t xml:space="preserve">                                    1</w:t>
      </w:r>
      <w:r>
        <w:rPr>
          <w:rFonts w:hint="eastAsia"/>
          <w:szCs w:val="21"/>
        </w:rPr>
        <w:t>根</w:t>
      </w:r>
    </w:p>
    <w:p w14:paraId="1C142AE3">
      <w:pPr>
        <w:pStyle w:val="21"/>
        <w:numPr>
          <w:ilvl w:val="0"/>
          <w:numId w:val="6"/>
        </w:numPr>
        <w:tabs>
          <w:tab w:val="left" w:pos="851"/>
          <w:tab w:val="left" w:pos="5387"/>
        </w:tabs>
        <w:spacing w:line="400" w:lineRule="exact"/>
        <w:ind w:left="0" w:firstLine="420"/>
        <w:contextualSpacing/>
        <w:rPr>
          <w:szCs w:val="21"/>
        </w:rPr>
      </w:pPr>
      <w:r>
        <w:rPr>
          <w:rFonts w:hint="eastAsia"/>
          <w:szCs w:val="21"/>
        </w:rPr>
        <w:t>充电器</w:t>
      </w:r>
      <w:r>
        <w:rPr>
          <w:rFonts w:hint="eastAsia"/>
          <w:szCs w:val="21"/>
        </w:rPr>
        <w:tab/>
      </w:r>
      <w:r>
        <w:rPr>
          <w:szCs w:val="21"/>
        </w:rPr>
        <w:t>1</w:t>
      </w:r>
      <w:r>
        <w:rPr>
          <w:rFonts w:hint="eastAsia"/>
          <w:szCs w:val="21"/>
        </w:rPr>
        <w:t>个</w:t>
      </w:r>
    </w:p>
    <w:p w14:paraId="1B18F6A8">
      <w:pPr>
        <w:pStyle w:val="21"/>
        <w:numPr>
          <w:ilvl w:val="0"/>
          <w:numId w:val="6"/>
        </w:numPr>
        <w:tabs>
          <w:tab w:val="left" w:pos="851"/>
          <w:tab w:val="left" w:pos="5387"/>
        </w:tabs>
        <w:spacing w:line="400" w:lineRule="exact"/>
        <w:ind w:left="0" w:firstLine="420"/>
        <w:contextualSpacing/>
        <w:rPr>
          <w:szCs w:val="21"/>
        </w:rPr>
      </w:pPr>
      <w:r>
        <w:rPr>
          <w:szCs w:val="21"/>
        </w:rPr>
        <w:t>说明书</w:t>
      </w:r>
      <w:r>
        <w:rPr>
          <w:rFonts w:hint="eastAsia"/>
          <w:szCs w:val="21"/>
        </w:rPr>
        <w:tab/>
      </w:r>
      <w:r>
        <w:rPr>
          <w:szCs w:val="21"/>
        </w:rPr>
        <w:t>1份</w:t>
      </w:r>
    </w:p>
    <w:p w14:paraId="21E1A558">
      <w:pPr>
        <w:pStyle w:val="21"/>
        <w:numPr>
          <w:ilvl w:val="0"/>
          <w:numId w:val="6"/>
        </w:numPr>
        <w:tabs>
          <w:tab w:val="left" w:pos="851"/>
          <w:tab w:val="left" w:pos="5387"/>
        </w:tabs>
        <w:spacing w:line="400" w:lineRule="exact"/>
        <w:ind w:left="0" w:firstLine="420"/>
        <w:contextualSpacing/>
        <w:rPr>
          <w:szCs w:val="21"/>
        </w:rPr>
      </w:pPr>
      <w:r>
        <w:rPr>
          <w:rFonts w:hint="eastAsia"/>
          <w:szCs w:val="21"/>
        </w:rPr>
        <w:t xml:space="preserve">合格证保修卡 </w:t>
      </w:r>
      <w:r>
        <w:rPr>
          <w:szCs w:val="21"/>
        </w:rPr>
        <w:t xml:space="preserve">                              1</w:t>
      </w:r>
      <w:r>
        <w:rPr>
          <w:rFonts w:hint="eastAsia"/>
          <w:szCs w:val="21"/>
        </w:rPr>
        <w:t>份</w:t>
      </w:r>
    </w:p>
    <w:p w14:paraId="39A8FEFB">
      <w:pPr>
        <w:pStyle w:val="21"/>
        <w:numPr>
          <w:ilvl w:val="0"/>
          <w:numId w:val="6"/>
        </w:numPr>
        <w:tabs>
          <w:tab w:val="left" w:pos="851"/>
          <w:tab w:val="left" w:pos="5387"/>
        </w:tabs>
        <w:spacing w:line="400" w:lineRule="exact"/>
        <w:ind w:left="0" w:firstLine="420"/>
        <w:contextualSpacing/>
        <w:rPr>
          <w:sz w:val="24"/>
          <w:szCs w:val="24"/>
        </w:rPr>
      </w:pPr>
      <w:r>
        <w:rPr>
          <w:rFonts w:hint="eastAsia"/>
          <w:szCs w:val="21"/>
        </w:rPr>
        <w:t>仪器箱</w:t>
      </w:r>
      <w:r>
        <w:rPr>
          <w:rFonts w:hint="eastAsia"/>
          <w:szCs w:val="21"/>
        </w:rPr>
        <w:tab/>
      </w:r>
      <w:r>
        <w:rPr>
          <w:rFonts w:hint="eastAsia"/>
          <w:szCs w:val="21"/>
        </w:rPr>
        <w:t>1个</w:t>
      </w:r>
    </w:p>
    <w:p w14:paraId="4CA82BC5">
      <w:pPr>
        <w:tabs>
          <w:tab w:val="left" w:pos="851"/>
          <w:tab w:val="left" w:pos="5387"/>
        </w:tabs>
        <w:spacing w:line="400" w:lineRule="exact"/>
        <w:contextualSpacing/>
        <w:rPr>
          <w:sz w:val="24"/>
          <w:szCs w:val="24"/>
        </w:rPr>
      </w:pPr>
    </w:p>
    <w:p w14:paraId="6F316400">
      <w:pPr>
        <w:tabs>
          <w:tab w:val="left" w:pos="851"/>
          <w:tab w:val="left" w:pos="5387"/>
        </w:tabs>
        <w:spacing w:line="400" w:lineRule="exact"/>
        <w:contextualSpacing/>
        <w:rPr>
          <w:sz w:val="24"/>
          <w:szCs w:val="24"/>
        </w:rPr>
      </w:pPr>
    </w:p>
    <w:p w14:paraId="2B77F0F6">
      <w:pPr>
        <w:tabs>
          <w:tab w:val="left" w:pos="851"/>
          <w:tab w:val="left" w:pos="5387"/>
        </w:tabs>
        <w:spacing w:line="400" w:lineRule="exact"/>
        <w:contextualSpacing/>
        <w:rPr>
          <w:sz w:val="24"/>
          <w:szCs w:val="24"/>
        </w:rPr>
      </w:pPr>
    </w:p>
    <w:p w14:paraId="724081CC">
      <w:pPr>
        <w:tabs>
          <w:tab w:val="left" w:pos="851"/>
          <w:tab w:val="left" w:pos="5387"/>
        </w:tabs>
        <w:spacing w:line="400" w:lineRule="exact"/>
        <w:contextualSpacing/>
        <w:rPr>
          <w:sz w:val="24"/>
          <w:szCs w:val="24"/>
        </w:rPr>
      </w:pPr>
    </w:p>
    <w:p w14:paraId="51810DB3">
      <w:pPr>
        <w:ind w:firstLine="480" w:firstLineChars="200"/>
        <w:rPr>
          <w:sz w:val="24"/>
          <w:szCs w:val="24"/>
        </w:rPr>
      </w:pPr>
    </w:p>
    <w:sectPr>
      <w:headerReference r:id="rId11" w:type="default"/>
      <w:footerReference r:id="rId12" w:type="default"/>
      <w:pgSz w:w="11906" w:h="16838"/>
      <w:pgMar w:top="1134" w:right="1134" w:bottom="1134" w:left="1418" w:header="680" w:footer="567"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E3E74">
    <w:pPr>
      <w:pStyle w:val="9"/>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p w14:paraId="5C8D33F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C9197">
    <w:pPr>
      <w:pStyle w:val="9"/>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2E8F6">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534C4">
    <w:pPr>
      <w:pStyle w:val="9"/>
      <w:spacing w:before="120"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11F7">
    <w:pPr>
      <w:pStyle w:val="9"/>
      <w:spacing w:before="120" w:after="120"/>
      <w:ind w:firstLine="360"/>
      <w:jc w:val="center"/>
    </w:pPr>
    <w:r>
      <w:rPr>
        <w:rFonts w:hint="eastAsia"/>
      </w:rPr>
      <w:t>第</w:t>
    </w:r>
    <w:r>
      <w:fldChar w:fldCharType="begin"/>
    </w:r>
    <w:r>
      <w:instrText xml:space="preserve"> PAGE   \* MERGEFORMAT </w:instrText>
    </w:r>
    <w:r>
      <w:fldChar w:fldCharType="separate"/>
    </w:r>
    <w:r>
      <w:rPr>
        <w:lang w:val="zh-CN"/>
      </w:rPr>
      <w:t>7</w:t>
    </w:r>
    <w:r>
      <w:rPr>
        <w:lang w:val="zh-CN"/>
      </w:rPr>
      <w:fldChar w:fldCharType="end"/>
    </w:r>
    <w:r>
      <w:rPr>
        <w:rFonts w:hint="eastAsia"/>
      </w:rPr>
      <w:t>页  共15页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A3AC3">
    <w:pPr>
      <w:pStyle w:val="10"/>
      <w:tabs>
        <w:tab w:val="right" w:pos="9354"/>
        <w:tab w:val="clear" w:pos="4153"/>
        <w:tab w:val="clear" w:pos="8306"/>
      </w:tabs>
      <w:spacing w:before="120" w:after="120"/>
      <w:ind w:firstLine="360"/>
    </w:pPr>
    <w:r>
      <w:rPr>
        <w:rFonts w:hint="eastAsia"/>
        <w:b/>
      </w:rPr>
      <w:t xml:space="preserve">  </w:t>
    </w:r>
    <w:r>
      <w:rPr>
        <w:rFonts w:hint="eastAsia" w:ascii="宋体" w:hAnsi="宋体"/>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3904F">
    <w:pPr>
      <w:pStyle w:val="10"/>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04BAE">
    <w:pPr>
      <w:pStyle w:val="10"/>
      <w:tabs>
        <w:tab w:val="right" w:pos="9354"/>
        <w:tab w:val="clear" w:pos="4153"/>
        <w:tab w:val="clear" w:pos="8306"/>
      </w:tabs>
      <w:spacing w:before="120" w:after="120"/>
      <w:ind w:firstLine="360"/>
    </w:pPr>
    <w:r>
      <w:rPr>
        <w:rFonts w:hint="eastAsia" w:ascii="宋体" w:hAnsi="宋体"/>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2279FD"/>
    <w:multiLevelType w:val="multilevel"/>
    <w:tmpl w:val="0D2279F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1E5D1906"/>
    <w:multiLevelType w:val="multilevel"/>
    <w:tmpl w:val="1E5D190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1E7F1FEF"/>
    <w:multiLevelType w:val="multilevel"/>
    <w:tmpl w:val="1E7F1FE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8085C2F"/>
    <w:multiLevelType w:val="multilevel"/>
    <w:tmpl w:val="38085C2F"/>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4">
    <w:nsid w:val="439152A5"/>
    <w:multiLevelType w:val="multilevel"/>
    <w:tmpl w:val="439152A5"/>
    <w:lvl w:ilvl="0" w:tentative="0">
      <w:start w:val="1"/>
      <w:numFmt w:val="decimal"/>
      <w:lvlText w:val="(%1)"/>
      <w:lvlJc w:val="left"/>
      <w:pPr>
        <w:ind w:left="860" w:hanging="44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656341A8"/>
    <w:multiLevelType w:val="multilevel"/>
    <w:tmpl w:val="656341A8"/>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lM2Q4MWI0MzRlYTBjNzEyMjZkNjY1NTc1Y2JmMjMifQ=="/>
  </w:docVars>
  <w:rsids>
    <w:rsidRoot w:val="007C6F49"/>
    <w:rsid w:val="00002196"/>
    <w:rsid w:val="00002737"/>
    <w:rsid w:val="00002D33"/>
    <w:rsid w:val="00002FF8"/>
    <w:rsid w:val="000032C0"/>
    <w:rsid w:val="000065AD"/>
    <w:rsid w:val="00007E9D"/>
    <w:rsid w:val="00013720"/>
    <w:rsid w:val="000168F3"/>
    <w:rsid w:val="000172D4"/>
    <w:rsid w:val="0002153D"/>
    <w:rsid w:val="0002206F"/>
    <w:rsid w:val="00022E79"/>
    <w:rsid w:val="000234BB"/>
    <w:rsid w:val="00030F06"/>
    <w:rsid w:val="000311E6"/>
    <w:rsid w:val="00031304"/>
    <w:rsid w:val="00035B4B"/>
    <w:rsid w:val="00041B19"/>
    <w:rsid w:val="00042868"/>
    <w:rsid w:val="00045845"/>
    <w:rsid w:val="00052279"/>
    <w:rsid w:val="00055136"/>
    <w:rsid w:val="0006401F"/>
    <w:rsid w:val="00066CF9"/>
    <w:rsid w:val="00067C0A"/>
    <w:rsid w:val="00070587"/>
    <w:rsid w:val="000730AD"/>
    <w:rsid w:val="0007512D"/>
    <w:rsid w:val="000762E8"/>
    <w:rsid w:val="000819A8"/>
    <w:rsid w:val="00082D3D"/>
    <w:rsid w:val="00085DD1"/>
    <w:rsid w:val="00085EDC"/>
    <w:rsid w:val="00091E61"/>
    <w:rsid w:val="00093513"/>
    <w:rsid w:val="00093D6E"/>
    <w:rsid w:val="000958EA"/>
    <w:rsid w:val="000A02FF"/>
    <w:rsid w:val="000A1BCF"/>
    <w:rsid w:val="000A338D"/>
    <w:rsid w:val="000A33A6"/>
    <w:rsid w:val="000A3A02"/>
    <w:rsid w:val="000A3D12"/>
    <w:rsid w:val="000A61B8"/>
    <w:rsid w:val="000A68F5"/>
    <w:rsid w:val="000B03CD"/>
    <w:rsid w:val="000B1277"/>
    <w:rsid w:val="000B318F"/>
    <w:rsid w:val="000B39F2"/>
    <w:rsid w:val="000B585F"/>
    <w:rsid w:val="000B6E4D"/>
    <w:rsid w:val="000B752F"/>
    <w:rsid w:val="000B7B14"/>
    <w:rsid w:val="000C25A2"/>
    <w:rsid w:val="000C25E6"/>
    <w:rsid w:val="000C387D"/>
    <w:rsid w:val="000C5599"/>
    <w:rsid w:val="000C6127"/>
    <w:rsid w:val="000C6D1F"/>
    <w:rsid w:val="000D0856"/>
    <w:rsid w:val="000D458E"/>
    <w:rsid w:val="000D4C1B"/>
    <w:rsid w:val="000D77D5"/>
    <w:rsid w:val="000E520A"/>
    <w:rsid w:val="000E5C8D"/>
    <w:rsid w:val="000E6A4A"/>
    <w:rsid w:val="000E7BAC"/>
    <w:rsid w:val="000E7FE1"/>
    <w:rsid w:val="000F22AA"/>
    <w:rsid w:val="000F2F5B"/>
    <w:rsid w:val="000F4737"/>
    <w:rsid w:val="001000FE"/>
    <w:rsid w:val="00103830"/>
    <w:rsid w:val="0010571C"/>
    <w:rsid w:val="0011284D"/>
    <w:rsid w:val="00113DD0"/>
    <w:rsid w:val="0011514F"/>
    <w:rsid w:val="00120C65"/>
    <w:rsid w:val="001228D7"/>
    <w:rsid w:val="00125F31"/>
    <w:rsid w:val="00127EE8"/>
    <w:rsid w:val="00131399"/>
    <w:rsid w:val="001334A4"/>
    <w:rsid w:val="00133858"/>
    <w:rsid w:val="00135EDE"/>
    <w:rsid w:val="00136245"/>
    <w:rsid w:val="001367D4"/>
    <w:rsid w:val="001428F0"/>
    <w:rsid w:val="00143D27"/>
    <w:rsid w:val="00145D63"/>
    <w:rsid w:val="001528DA"/>
    <w:rsid w:val="00153207"/>
    <w:rsid w:val="001579C7"/>
    <w:rsid w:val="001600AB"/>
    <w:rsid w:val="001601F4"/>
    <w:rsid w:val="00160B2C"/>
    <w:rsid w:val="00161107"/>
    <w:rsid w:val="001614FD"/>
    <w:rsid w:val="001618A1"/>
    <w:rsid w:val="001715E9"/>
    <w:rsid w:val="0017336A"/>
    <w:rsid w:val="00180789"/>
    <w:rsid w:val="00180809"/>
    <w:rsid w:val="00181794"/>
    <w:rsid w:val="0018254A"/>
    <w:rsid w:val="00183D7A"/>
    <w:rsid w:val="00183FE5"/>
    <w:rsid w:val="00185D7E"/>
    <w:rsid w:val="001A0D11"/>
    <w:rsid w:val="001A10AD"/>
    <w:rsid w:val="001A31B9"/>
    <w:rsid w:val="001A50B7"/>
    <w:rsid w:val="001A5A03"/>
    <w:rsid w:val="001A6114"/>
    <w:rsid w:val="001A6CFA"/>
    <w:rsid w:val="001A7B14"/>
    <w:rsid w:val="001B3120"/>
    <w:rsid w:val="001B3362"/>
    <w:rsid w:val="001B3667"/>
    <w:rsid w:val="001B7A87"/>
    <w:rsid w:val="001C2430"/>
    <w:rsid w:val="001C3558"/>
    <w:rsid w:val="001C5427"/>
    <w:rsid w:val="001C631E"/>
    <w:rsid w:val="001D1031"/>
    <w:rsid w:val="001D22EF"/>
    <w:rsid w:val="001D36C4"/>
    <w:rsid w:val="001D61F8"/>
    <w:rsid w:val="001E1F09"/>
    <w:rsid w:val="001E3414"/>
    <w:rsid w:val="001E3B9F"/>
    <w:rsid w:val="001E3FFA"/>
    <w:rsid w:val="001E5CF3"/>
    <w:rsid w:val="001E5D53"/>
    <w:rsid w:val="001E61B6"/>
    <w:rsid w:val="001E760A"/>
    <w:rsid w:val="001E7ECD"/>
    <w:rsid w:val="001F0CB5"/>
    <w:rsid w:val="001F1773"/>
    <w:rsid w:val="001F1D17"/>
    <w:rsid w:val="001F2279"/>
    <w:rsid w:val="001F5277"/>
    <w:rsid w:val="001F6DB0"/>
    <w:rsid w:val="00201675"/>
    <w:rsid w:val="00201D54"/>
    <w:rsid w:val="00202341"/>
    <w:rsid w:val="00202893"/>
    <w:rsid w:val="00203647"/>
    <w:rsid w:val="00204ACF"/>
    <w:rsid w:val="00205F7F"/>
    <w:rsid w:val="00206992"/>
    <w:rsid w:val="002125DE"/>
    <w:rsid w:val="00214F8C"/>
    <w:rsid w:val="002157F8"/>
    <w:rsid w:val="00216A20"/>
    <w:rsid w:val="002201D2"/>
    <w:rsid w:val="00221002"/>
    <w:rsid w:val="00234545"/>
    <w:rsid w:val="002352DA"/>
    <w:rsid w:val="00236395"/>
    <w:rsid w:val="002422B3"/>
    <w:rsid w:val="00242608"/>
    <w:rsid w:val="0024305E"/>
    <w:rsid w:val="0025290E"/>
    <w:rsid w:val="00255D31"/>
    <w:rsid w:val="00260275"/>
    <w:rsid w:val="0026079B"/>
    <w:rsid w:val="00264256"/>
    <w:rsid w:val="00264327"/>
    <w:rsid w:val="0026705A"/>
    <w:rsid w:val="00267175"/>
    <w:rsid w:val="00273051"/>
    <w:rsid w:val="00273BF4"/>
    <w:rsid w:val="00274D4B"/>
    <w:rsid w:val="00276678"/>
    <w:rsid w:val="002776EC"/>
    <w:rsid w:val="00281661"/>
    <w:rsid w:val="00282591"/>
    <w:rsid w:val="00283D14"/>
    <w:rsid w:val="00285070"/>
    <w:rsid w:val="00287F8F"/>
    <w:rsid w:val="002918B5"/>
    <w:rsid w:val="002930B2"/>
    <w:rsid w:val="002939D7"/>
    <w:rsid w:val="00295435"/>
    <w:rsid w:val="002962EB"/>
    <w:rsid w:val="002A2072"/>
    <w:rsid w:val="002A2FFF"/>
    <w:rsid w:val="002A59E5"/>
    <w:rsid w:val="002A5EA4"/>
    <w:rsid w:val="002A716D"/>
    <w:rsid w:val="002B0D15"/>
    <w:rsid w:val="002B1EC9"/>
    <w:rsid w:val="002B5094"/>
    <w:rsid w:val="002B605D"/>
    <w:rsid w:val="002C04FA"/>
    <w:rsid w:val="002C24E1"/>
    <w:rsid w:val="002C35B8"/>
    <w:rsid w:val="002C542E"/>
    <w:rsid w:val="002C632E"/>
    <w:rsid w:val="002C6339"/>
    <w:rsid w:val="002D0026"/>
    <w:rsid w:val="002D2841"/>
    <w:rsid w:val="002D343B"/>
    <w:rsid w:val="002D5C50"/>
    <w:rsid w:val="002E1978"/>
    <w:rsid w:val="002E3829"/>
    <w:rsid w:val="002E5853"/>
    <w:rsid w:val="002F27F0"/>
    <w:rsid w:val="002F33EC"/>
    <w:rsid w:val="002F340B"/>
    <w:rsid w:val="002F439D"/>
    <w:rsid w:val="002F4A6D"/>
    <w:rsid w:val="002F53D3"/>
    <w:rsid w:val="00310118"/>
    <w:rsid w:val="0031040E"/>
    <w:rsid w:val="003106B5"/>
    <w:rsid w:val="00310942"/>
    <w:rsid w:val="00311587"/>
    <w:rsid w:val="003118A9"/>
    <w:rsid w:val="00321843"/>
    <w:rsid w:val="003246C9"/>
    <w:rsid w:val="003266FE"/>
    <w:rsid w:val="003267FA"/>
    <w:rsid w:val="0032730F"/>
    <w:rsid w:val="00327ABC"/>
    <w:rsid w:val="003304FB"/>
    <w:rsid w:val="00330E4F"/>
    <w:rsid w:val="003316AB"/>
    <w:rsid w:val="00335D52"/>
    <w:rsid w:val="00335E8B"/>
    <w:rsid w:val="00336708"/>
    <w:rsid w:val="00340948"/>
    <w:rsid w:val="003416A6"/>
    <w:rsid w:val="0034246A"/>
    <w:rsid w:val="003447D3"/>
    <w:rsid w:val="00350BFA"/>
    <w:rsid w:val="00353A04"/>
    <w:rsid w:val="00356282"/>
    <w:rsid w:val="00356C04"/>
    <w:rsid w:val="00360E62"/>
    <w:rsid w:val="00361310"/>
    <w:rsid w:val="003619F7"/>
    <w:rsid w:val="00362AAD"/>
    <w:rsid w:val="00363361"/>
    <w:rsid w:val="0036429B"/>
    <w:rsid w:val="00364473"/>
    <w:rsid w:val="00364FB8"/>
    <w:rsid w:val="00365DFF"/>
    <w:rsid w:val="00375A3E"/>
    <w:rsid w:val="003774B6"/>
    <w:rsid w:val="003807DA"/>
    <w:rsid w:val="0038095A"/>
    <w:rsid w:val="00384076"/>
    <w:rsid w:val="003877E9"/>
    <w:rsid w:val="003878D5"/>
    <w:rsid w:val="00391134"/>
    <w:rsid w:val="00393CB4"/>
    <w:rsid w:val="003971F1"/>
    <w:rsid w:val="003A0B66"/>
    <w:rsid w:val="003A179E"/>
    <w:rsid w:val="003A2E9D"/>
    <w:rsid w:val="003A3A30"/>
    <w:rsid w:val="003B2ADE"/>
    <w:rsid w:val="003B3790"/>
    <w:rsid w:val="003B4997"/>
    <w:rsid w:val="003B57FB"/>
    <w:rsid w:val="003B5DDF"/>
    <w:rsid w:val="003C040C"/>
    <w:rsid w:val="003C15D7"/>
    <w:rsid w:val="003C260C"/>
    <w:rsid w:val="003C4105"/>
    <w:rsid w:val="003C6022"/>
    <w:rsid w:val="003D219A"/>
    <w:rsid w:val="003D2A36"/>
    <w:rsid w:val="003D6DB4"/>
    <w:rsid w:val="003F03E5"/>
    <w:rsid w:val="003F0888"/>
    <w:rsid w:val="003F2783"/>
    <w:rsid w:val="003F3098"/>
    <w:rsid w:val="003F329E"/>
    <w:rsid w:val="003F771F"/>
    <w:rsid w:val="003F78D2"/>
    <w:rsid w:val="00400056"/>
    <w:rsid w:val="00400D28"/>
    <w:rsid w:val="00401A2F"/>
    <w:rsid w:val="004037A0"/>
    <w:rsid w:val="004043E3"/>
    <w:rsid w:val="00404994"/>
    <w:rsid w:val="00405487"/>
    <w:rsid w:val="00412124"/>
    <w:rsid w:val="00413E90"/>
    <w:rsid w:val="004219D4"/>
    <w:rsid w:val="00422A1A"/>
    <w:rsid w:val="0042474A"/>
    <w:rsid w:val="00426CA8"/>
    <w:rsid w:val="0042717C"/>
    <w:rsid w:val="004314EF"/>
    <w:rsid w:val="004331AE"/>
    <w:rsid w:val="004336DD"/>
    <w:rsid w:val="004342D6"/>
    <w:rsid w:val="004345FB"/>
    <w:rsid w:val="00440495"/>
    <w:rsid w:val="00440A06"/>
    <w:rsid w:val="004419B3"/>
    <w:rsid w:val="004424DD"/>
    <w:rsid w:val="004433DD"/>
    <w:rsid w:val="0044358F"/>
    <w:rsid w:val="0044404D"/>
    <w:rsid w:val="00447340"/>
    <w:rsid w:val="00447671"/>
    <w:rsid w:val="004534CA"/>
    <w:rsid w:val="00453536"/>
    <w:rsid w:val="004566E1"/>
    <w:rsid w:val="004574FE"/>
    <w:rsid w:val="004709B3"/>
    <w:rsid w:val="004715B9"/>
    <w:rsid w:val="004736C7"/>
    <w:rsid w:val="00473F4A"/>
    <w:rsid w:val="004749B4"/>
    <w:rsid w:val="00481178"/>
    <w:rsid w:val="00484CCF"/>
    <w:rsid w:val="0048527E"/>
    <w:rsid w:val="00485987"/>
    <w:rsid w:val="00485B6B"/>
    <w:rsid w:val="00486707"/>
    <w:rsid w:val="00486F76"/>
    <w:rsid w:val="00490DF7"/>
    <w:rsid w:val="00494816"/>
    <w:rsid w:val="00495E5A"/>
    <w:rsid w:val="004965F3"/>
    <w:rsid w:val="004A77F7"/>
    <w:rsid w:val="004B1FE5"/>
    <w:rsid w:val="004B4FD0"/>
    <w:rsid w:val="004B772F"/>
    <w:rsid w:val="004C44B6"/>
    <w:rsid w:val="004C6083"/>
    <w:rsid w:val="004C665A"/>
    <w:rsid w:val="004C6C61"/>
    <w:rsid w:val="004C72EC"/>
    <w:rsid w:val="004D0B47"/>
    <w:rsid w:val="004D2B7C"/>
    <w:rsid w:val="004D7106"/>
    <w:rsid w:val="004E222A"/>
    <w:rsid w:val="004E42C5"/>
    <w:rsid w:val="004E7AFF"/>
    <w:rsid w:val="004F3586"/>
    <w:rsid w:val="004F3853"/>
    <w:rsid w:val="004F46E9"/>
    <w:rsid w:val="004F5992"/>
    <w:rsid w:val="004F5A7C"/>
    <w:rsid w:val="004F6FA2"/>
    <w:rsid w:val="004F7CD9"/>
    <w:rsid w:val="005035BD"/>
    <w:rsid w:val="00505338"/>
    <w:rsid w:val="00505C2F"/>
    <w:rsid w:val="0050690C"/>
    <w:rsid w:val="005070A5"/>
    <w:rsid w:val="00507690"/>
    <w:rsid w:val="0051159A"/>
    <w:rsid w:val="00512DC5"/>
    <w:rsid w:val="00515B81"/>
    <w:rsid w:val="00520A8D"/>
    <w:rsid w:val="00521345"/>
    <w:rsid w:val="00523492"/>
    <w:rsid w:val="005237E7"/>
    <w:rsid w:val="00523952"/>
    <w:rsid w:val="005248A9"/>
    <w:rsid w:val="00524C46"/>
    <w:rsid w:val="00530269"/>
    <w:rsid w:val="00530A9C"/>
    <w:rsid w:val="00530C37"/>
    <w:rsid w:val="00531963"/>
    <w:rsid w:val="0053396B"/>
    <w:rsid w:val="00533B45"/>
    <w:rsid w:val="0054143E"/>
    <w:rsid w:val="00541D05"/>
    <w:rsid w:val="00544CA8"/>
    <w:rsid w:val="00546189"/>
    <w:rsid w:val="005506AD"/>
    <w:rsid w:val="00551CD8"/>
    <w:rsid w:val="00553B8C"/>
    <w:rsid w:val="00555091"/>
    <w:rsid w:val="00555881"/>
    <w:rsid w:val="00556A1D"/>
    <w:rsid w:val="00556D4D"/>
    <w:rsid w:val="005606D2"/>
    <w:rsid w:val="00562C98"/>
    <w:rsid w:val="00563825"/>
    <w:rsid w:val="00567064"/>
    <w:rsid w:val="00570E2C"/>
    <w:rsid w:val="00571DE0"/>
    <w:rsid w:val="0057385F"/>
    <w:rsid w:val="005744E5"/>
    <w:rsid w:val="005827CB"/>
    <w:rsid w:val="00585A8B"/>
    <w:rsid w:val="005871E5"/>
    <w:rsid w:val="00587707"/>
    <w:rsid w:val="00587A08"/>
    <w:rsid w:val="00590680"/>
    <w:rsid w:val="005944F4"/>
    <w:rsid w:val="005977A0"/>
    <w:rsid w:val="005A0111"/>
    <w:rsid w:val="005A713D"/>
    <w:rsid w:val="005B0BBB"/>
    <w:rsid w:val="005B13A6"/>
    <w:rsid w:val="005B4E6F"/>
    <w:rsid w:val="005B6438"/>
    <w:rsid w:val="005B6D05"/>
    <w:rsid w:val="005C0BEE"/>
    <w:rsid w:val="005C2BEC"/>
    <w:rsid w:val="005C325C"/>
    <w:rsid w:val="005C3378"/>
    <w:rsid w:val="005C48AE"/>
    <w:rsid w:val="005D32BB"/>
    <w:rsid w:val="005D5E2F"/>
    <w:rsid w:val="005D6D36"/>
    <w:rsid w:val="005E0B40"/>
    <w:rsid w:val="005E4E4A"/>
    <w:rsid w:val="005E62BC"/>
    <w:rsid w:val="005E76FF"/>
    <w:rsid w:val="005E7C72"/>
    <w:rsid w:val="005F4029"/>
    <w:rsid w:val="005F6079"/>
    <w:rsid w:val="005F6399"/>
    <w:rsid w:val="005F6683"/>
    <w:rsid w:val="005F7228"/>
    <w:rsid w:val="006002CC"/>
    <w:rsid w:val="00600EF9"/>
    <w:rsid w:val="00601DB7"/>
    <w:rsid w:val="00603D57"/>
    <w:rsid w:val="00604011"/>
    <w:rsid w:val="0060507A"/>
    <w:rsid w:val="006060DA"/>
    <w:rsid w:val="0061093D"/>
    <w:rsid w:val="00613F03"/>
    <w:rsid w:val="006147F6"/>
    <w:rsid w:val="006154E8"/>
    <w:rsid w:val="0061751C"/>
    <w:rsid w:val="00622635"/>
    <w:rsid w:val="006240E9"/>
    <w:rsid w:val="006261BE"/>
    <w:rsid w:val="006269A5"/>
    <w:rsid w:val="0063398C"/>
    <w:rsid w:val="0063418E"/>
    <w:rsid w:val="00635AC0"/>
    <w:rsid w:val="00635DD0"/>
    <w:rsid w:val="00637BAE"/>
    <w:rsid w:val="0064129A"/>
    <w:rsid w:val="006414F5"/>
    <w:rsid w:val="006432F9"/>
    <w:rsid w:val="00644CD1"/>
    <w:rsid w:val="006456DF"/>
    <w:rsid w:val="0065059D"/>
    <w:rsid w:val="0065174A"/>
    <w:rsid w:val="00653D21"/>
    <w:rsid w:val="006637B3"/>
    <w:rsid w:val="006665D3"/>
    <w:rsid w:val="0066664A"/>
    <w:rsid w:val="0067000F"/>
    <w:rsid w:val="00670921"/>
    <w:rsid w:val="00670A01"/>
    <w:rsid w:val="006734AD"/>
    <w:rsid w:val="00677F64"/>
    <w:rsid w:val="00680422"/>
    <w:rsid w:val="006805A4"/>
    <w:rsid w:val="00683796"/>
    <w:rsid w:val="006837E7"/>
    <w:rsid w:val="006839CF"/>
    <w:rsid w:val="00684156"/>
    <w:rsid w:val="00684BB2"/>
    <w:rsid w:val="00690DA4"/>
    <w:rsid w:val="0069134A"/>
    <w:rsid w:val="00691DB0"/>
    <w:rsid w:val="0069444F"/>
    <w:rsid w:val="00695395"/>
    <w:rsid w:val="006A0720"/>
    <w:rsid w:val="006A2065"/>
    <w:rsid w:val="006A55C4"/>
    <w:rsid w:val="006A73BC"/>
    <w:rsid w:val="006B1448"/>
    <w:rsid w:val="006B39C0"/>
    <w:rsid w:val="006B442A"/>
    <w:rsid w:val="006B4EA0"/>
    <w:rsid w:val="006B52E8"/>
    <w:rsid w:val="006B5E1C"/>
    <w:rsid w:val="006B7D1F"/>
    <w:rsid w:val="006C0148"/>
    <w:rsid w:val="006C2E6B"/>
    <w:rsid w:val="006C6BD1"/>
    <w:rsid w:val="006D1D87"/>
    <w:rsid w:val="006D21DC"/>
    <w:rsid w:val="006D26AF"/>
    <w:rsid w:val="006D2E17"/>
    <w:rsid w:val="006E0B20"/>
    <w:rsid w:val="006E5443"/>
    <w:rsid w:val="006F230B"/>
    <w:rsid w:val="006F255A"/>
    <w:rsid w:val="006F3951"/>
    <w:rsid w:val="006F49F2"/>
    <w:rsid w:val="006F5CAF"/>
    <w:rsid w:val="006F7F91"/>
    <w:rsid w:val="007001C2"/>
    <w:rsid w:val="007013B3"/>
    <w:rsid w:val="00703C43"/>
    <w:rsid w:val="007073A8"/>
    <w:rsid w:val="00707E70"/>
    <w:rsid w:val="00713206"/>
    <w:rsid w:val="007148B3"/>
    <w:rsid w:val="00716222"/>
    <w:rsid w:val="007172D2"/>
    <w:rsid w:val="00721629"/>
    <w:rsid w:val="00721DCE"/>
    <w:rsid w:val="007243B7"/>
    <w:rsid w:val="0072660C"/>
    <w:rsid w:val="0073039D"/>
    <w:rsid w:val="007309D4"/>
    <w:rsid w:val="00731A9E"/>
    <w:rsid w:val="00733264"/>
    <w:rsid w:val="00733AB3"/>
    <w:rsid w:val="0073575A"/>
    <w:rsid w:val="00736891"/>
    <w:rsid w:val="00737499"/>
    <w:rsid w:val="007410C9"/>
    <w:rsid w:val="00741B30"/>
    <w:rsid w:val="00744096"/>
    <w:rsid w:val="00745885"/>
    <w:rsid w:val="00747B82"/>
    <w:rsid w:val="00751B55"/>
    <w:rsid w:val="0075714B"/>
    <w:rsid w:val="00757872"/>
    <w:rsid w:val="00757E61"/>
    <w:rsid w:val="00757F58"/>
    <w:rsid w:val="0076112A"/>
    <w:rsid w:val="00763618"/>
    <w:rsid w:val="00764F64"/>
    <w:rsid w:val="0077135A"/>
    <w:rsid w:val="00771369"/>
    <w:rsid w:val="00783B6A"/>
    <w:rsid w:val="00783D60"/>
    <w:rsid w:val="007859E3"/>
    <w:rsid w:val="007911E2"/>
    <w:rsid w:val="0079185A"/>
    <w:rsid w:val="00797220"/>
    <w:rsid w:val="007A15B0"/>
    <w:rsid w:val="007A239E"/>
    <w:rsid w:val="007A33A0"/>
    <w:rsid w:val="007A3CE3"/>
    <w:rsid w:val="007A408F"/>
    <w:rsid w:val="007A4C6D"/>
    <w:rsid w:val="007B224F"/>
    <w:rsid w:val="007B4584"/>
    <w:rsid w:val="007C1F59"/>
    <w:rsid w:val="007C6177"/>
    <w:rsid w:val="007C6AD0"/>
    <w:rsid w:val="007C6C95"/>
    <w:rsid w:val="007C6F49"/>
    <w:rsid w:val="007C7EF5"/>
    <w:rsid w:val="007D0FAE"/>
    <w:rsid w:val="007D16BF"/>
    <w:rsid w:val="007D2783"/>
    <w:rsid w:val="007D34FA"/>
    <w:rsid w:val="007D5BDB"/>
    <w:rsid w:val="007D6AA0"/>
    <w:rsid w:val="007D6B5C"/>
    <w:rsid w:val="007E3455"/>
    <w:rsid w:val="007E3471"/>
    <w:rsid w:val="007E3704"/>
    <w:rsid w:val="007E3F32"/>
    <w:rsid w:val="007F15A4"/>
    <w:rsid w:val="007F3D75"/>
    <w:rsid w:val="007F6CE7"/>
    <w:rsid w:val="007F7474"/>
    <w:rsid w:val="008009C0"/>
    <w:rsid w:val="008035FD"/>
    <w:rsid w:val="00803F28"/>
    <w:rsid w:val="00807B96"/>
    <w:rsid w:val="008113B1"/>
    <w:rsid w:val="00812BAA"/>
    <w:rsid w:val="00812F0A"/>
    <w:rsid w:val="00813139"/>
    <w:rsid w:val="00814F95"/>
    <w:rsid w:val="00815C11"/>
    <w:rsid w:val="0082091B"/>
    <w:rsid w:val="00824A9B"/>
    <w:rsid w:val="00824F69"/>
    <w:rsid w:val="00825D8D"/>
    <w:rsid w:val="00825E07"/>
    <w:rsid w:val="0083043E"/>
    <w:rsid w:val="00833F7B"/>
    <w:rsid w:val="00834D9C"/>
    <w:rsid w:val="00840D00"/>
    <w:rsid w:val="00840E70"/>
    <w:rsid w:val="0084548A"/>
    <w:rsid w:val="0084715A"/>
    <w:rsid w:val="0085105C"/>
    <w:rsid w:val="00852A4C"/>
    <w:rsid w:val="008540EF"/>
    <w:rsid w:val="00855A23"/>
    <w:rsid w:val="00860D62"/>
    <w:rsid w:val="0086150C"/>
    <w:rsid w:val="0086157B"/>
    <w:rsid w:val="00862F61"/>
    <w:rsid w:val="00863416"/>
    <w:rsid w:val="008637CE"/>
    <w:rsid w:val="00865988"/>
    <w:rsid w:val="00866FEA"/>
    <w:rsid w:val="00871311"/>
    <w:rsid w:val="0087536A"/>
    <w:rsid w:val="00875F27"/>
    <w:rsid w:val="0088631F"/>
    <w:rsid w:val="0088692C"/>
    <w:rsid w:val="00886ABF"/>
    <w:rsid w:val="0088787D"/>
    <w:rsid w:val="00894DF8"/>
    <w:rsid w:val="00896192"/>
    <w:rsid w:val="00897C8A"/>
    <w:rsid w:val="008A2D94"/>
    <w:rsid w:val="008A3731"/>
    <w:rsid w:val="008A3E73"/>
    <w:rsid w:val="008A4698"/>
    <w:rsid w:val="008B3C32"/>
    <w:rsid w:val="008B40EA"/>
    <w:rsid w:val="008B461F"/>
    <w:rsid w:val="008C1300"/>
    <w:rsid w:val="008C7B09"/>
    <w:rsid w:val="008D05EA"/>
    <w:rsid w:val="008D0645"/>
    <w:rsid w:val="008D445E"/>
    <w:rsid w:val="008D4F8D"/>
    <w:rsid w:val="008D5AEE"/>
    <w:rsid w:val="008D64B1"/>
    <w:rsid w:val="008D66D6"/>
    <w:rsid w:val="008E1644"/>
    <w:rsid w:val="008E45AE"/>
    <w:rsid w:val="008E7C34"/>
    <w:rsid w:val="008F49AF"/>
    <w:rsid w:val="00902B2A"/>
    <w:rsid w:val="00903875"/>
    <w:rsid w:val="00905E3F"/>
    <w:rsid w:val="00906C04"/>
    <w:rsid w:val="009105A8"/>
    <w:rsid w:val="00910C7D"/>
    <w:rsid w:val="0091300D"/>
    <w:rsid w:val="0091301E"/>
    <w:rsid w:val="00913A01"/>
    <w:rsid w:val="00917180"/>
    <w:rsid w:val="0091777C"/>
    <w:rsid w:val="00917EB1"/>
    <w:rsid w:val="00917F11"/>
    <w:rsid w:val="009232C7"/>
    <w:rsid w:val="009236D9"/>
    <w:rsid w:val="00923CDF"/>
    <w:rsid w:val="00926A53"/>
    <w:rsid w:val="00930A8E"/>
    <w:rsid w:val="00931E55"/>
    <w:rsid w:val="0093404E"/>
    <w:rsid w:val="00936931"/>
    <w:rsid w:val="0094033E"/>
    <w:rsid w:val="00954D62"/>
    <w:rsid w:val="00954E75"/>
    <w:rsid w:val="009562F5"/>
    <w:rsid w:val="00956414"/>
    <w:rsid w:val="00964CE5"/>
    <w:rsid w:val="00970208"/>
    <w:rsid w:val="00970A67"/>
    <w:rsid w:val="00971B81"/>
    <w:rsid w:val="0097297B"/>
    <w:rsid w:val="0097299F"/>
    <w:rsid w:val="00976584"/>
    <w:rsid w:val="00976F6A"/>
    <w:rsid w:val="00981470"/>
    <w:rsid w:val="009818F2"/>
    <w:rsid w:val="00982567"/>
    <w:rsid w:val="009841E7"/>
    <w:rsid w:val="009862BE"/>
    <w:rsid w:val="00994C24"/>
    <w:rsid w:val="0099569F"/>
    <w:rsid w:val="009A1974"/>
    <w:rsid w:val="009A4B84"/>
    <w:rsid w:val="009A4DBC"/>
    <w:rsid w:val="009A4FA3"/>
    <w:rsid w:val="009A64BE"/>
    <w:rsid w:val="009B0EB4"/>
    <w:rsid w:val="009B15A7"/>
    <w:rsid w:val="009B4DC2"/>
    <w:rsid w:val="009B5D82"/>
    <w:rsid w:val="009B5FE9"/>
    <w:rsid w:val="009B7C56"/>
    <w:rsid w:val="009C31AF"/>
    <w:rsid w:val="009D1236"/>
    <w:rsid w:val="009D5A8C"/>
    <w:rsid w:val="009D6419"/>
    <w:rsid w:val="009E5486"/>
    <w:rsid w:val="009E5526"/>
    <w:rsid w:val="009E5E73"/>
    <w:rsid w:val="009E65DE"/>
    <w:rsid w:val="009E6CC8"/>
    <w:rsid w:val="009E6DD4"/>
    <w:rsid w:val="009E740E"/>
    <w:rsid w:val="009F15B9"/>
    <w:rsid w:val="009F2976"/>
    <w:rsid w:val="009F2B1D"/>
    <w:rsid w:val="009F38F8"/>
    <w:rsid w:val="009F5E65"/>
    <w:rsid w:val="009F624E"/>
    <w:rsid w:val="009F6833"/>
    <w:rsid w:val="009F6E4E"/>
    <w:rsid w:val="00A019A9"/>
    <w:rsid w:val="00A03693"/>
    <w:rsid w:val="00A03E35"/>
    <w:rsid w:val="00A07131"/>
    <w:rsid w:val="00A132ED"/>
    <w:rsid w:val="00A15798"/>
    <w:rsid w:val="00A177A9"/>
    <w:rsid w:val="00A208FC"/>
    <w:rsid w:val="00A21295"/>
    <w:rsid w:val="00A21937"/>
    <w:rsid w:val="00A3154B"/>
    <w:rsid w:val="00A31A91"/>
    <w:rsid w:val="00A33826"/>
    <w:rsid w:val="00A35B83"/>
    <w:rsid w:val="00A3765C"/>
    <w:rsid w:val="00A40C3D"/>
    <w:rsid w:val="00A41BDE"/>
    <w:rsid w:val="00A42429"/>
    <w:rsid w:val="00A435AA"/>
    <w:rsid w:val="00A50AC2"/>
    <w:rsid w:val="00A50AC6"/>
    <w:rsid w:val="00A50C40"/>
    <w:rsid w:val="00A51BD7"/>
    <w:rsid w:val="00A5329C"/>
    <w:rsid w:val="00A6724D"/>
    <w:rsid w:val="00A769CB"/>
    <w:rsid w:val="00A8054D"/>
    <w:rsid w:val="00A80EB5"/>
    <w:rsid w:val="00A818E6"/>
    <w:rsid w:val="00A81E27"/>
    <w:rsid w:val="00A81FE2"/>
    <w:rsid w:val="00A928D0"/>
    <w:rsid w:val="00A948CA"/>
    <w:rsid w:val="00A95817"/>
    <w:rsid w:val="00A96447"/>
    <w:rsid w:val="00A97392"/>
    <w:rsid w:val="00A9739F"/>
    <w:rsid w:val="00AA4A96"/>
    <w:rsid w:val="00AA4CB1"/>
    <w:rsid w:val="00AA620F"/>
    <w:rsid w:val="00AB502C"/>
    <w:rsid w:val="00AB7ED9"/>
    <w:rsid w:val="00AC0B5B"/>
    <w:rsid w:val="00AC0E5B"/>
    <w:rsid w:val="00AC3DEB"/>
    <w:rsid w:val="00AC70B4"/>
    <w:rsid w:val="00AD069A"/>
    <w:rsid w:val="00AD0914"/>
    <w:rsid w:val="00AD0CB2"/>
    <w:rsid w:val="00AD1228"/>
    <w:rsid w:val="00AD1D31"/>
    <w:rsid w:val="00AD29C7"/>
    <w:rsid w:val="00AD4304"/>
    <w:rsid w:val="00AD589E"/>
    <w:rsid w:val="00AD7056"/>
    <w:rsid w:val="00AE0715"/>
    <w:rsid w:val="00AE1623"/>
    <w:rsid w:val="00AE1C02"/>
    <w:rsid w:val="00AE227D"/>
    <w:rsid w:val="00AE50CB"/>
    <w:rsid w:val="00AE52D3"/>
    <w:rsid w:val="00AE571A"/>
    <w:rsid w:val="00AE5944"/>
    <w:rsid w:val="00AE786D"/>
    <w:rsid w:val="00AF1CD1"/>
    <w:rsid w:val="00AF5B91"/>
    <w:rsid w:val="00AF5EEB"/>
    <w:rsid w:val="00AF5F9C"/>
    <w:rsid w:val="00AF6C18"/>
    <w:rsid w:val="00AF7EE6"/>
    <w:rsid w:val="00B1057C"/>
    <w:rsid w:val="00B10E4B"/>
    <w:rsid w:val="00B1244C"/>
    <w:rsid w:val="00B22663"/>
    <w:rsid w:val="00B23792"/>
    <w:rsid w:val="00B2530C"/>
    <w:rsid w:val="00B2639E"/>
    <w:rsid w:val="00B26857"/>
    <w:rsid w:val="00B26B6B"/>
    <w:rsid w:val="00B32D1D"/>
    <w:rsid w:val="00B32E9C"/>
    <w:rsid w:val="00B32FE7"/>
    <w:rsid w:val="00B3567D"/>
    <w:rsid w:val="00B36C7E"/>
    <w:rsid w:val="00B402F2"/>
    <w:rsid w:val="00B46353"/>
    <w:rsid w:val="00B50856"/>
    <w:rsid w:val="00B516FC"/>
    <w:rsid w:val="00B52664"/>
    <w:rsid w:val="00B54059"/>
    <w:rsid w:val="00B63A73"/>
    <w:rsid w:val="00B63E07"/>
    <w:rsid w:val="00B64293"/>
    <w:rsid w:val="00B6700F"/>
    <w:rsid w:val="00B67013"/>
    <w:rsid w:val="00B70661"/>
    <w:rsid w:val="00B71184"/>
    <w:rsid w:val="00B724CF"/>
    <w:rsid w:val="00B74F55"/>
    <w:rsid w:val="00B75588"/>
    <w:rsid w:val="00B81442"/>
    <w:rsid w:val="00B829BF"/>
    <w:rsid w:val="00B84BEA"/>
    <w:rsid w:val="00B856A5"/>
    <w:rsid w:val="00B86D7D"/>
    <w:rsid w:val="00B90911"/>
    <w:rsid w:val="00B94ABA"/>
    <w:rsid w:val="00B953B7"/>
    <w:rsid w:val="00B968F2"/>
    <w:rsid w:val="00B97B25"/>
    <w:rsid w:val="00BA103E"/>
    <w:rsid w:val="00BA2465"/>
    <w:rsid w:val="00BA3AE6"/>
    <w:rsid w:val="00BA3C88"/>
    <w:rsid w:val="00BA4B32"/>
    <w:rsid w:val="00BA5523"/>
    <w:rsid w:val="00BA7F55"/>
    <w:rsid w:val="00BB5AF3"/>
    <w:rsid w:val="00BB6C66"/>
    <w:rsid w:val="00BB7E78"/>
    <w:rsid w:val="00BD135E"/>
    <w:rsid w:val="00BD363D"/>
    <w:rsid w:val="00BD3AC9"/>
    <w:rsid w:val="00BD4F00"/>
    <w:rsid w:val="00BE2726"/>
    <w:rsid w:val="00BE53C1"/>
    <w:rsid w:val="00BE6D12"/>
    <w:rsid w:val="00BE6F9E"/>
    <w:rsid w:val="00BE74C5"/>
    <w:rsid w:val="00BE77F1"/>
    <w:rsid w:val="00BF32FE"/>
    <w:rsid w:val="00BF37CA"/>
    <w:rsid w:val="00BF397B"/>
    <w:rsid w:val="00C001E5"/>
    <w:rsid w:val="00C00BD7"/>
    <w:rsid w:val="00C00F3A"/>
    <w:rsid w:val="00C018DD"/>
    <w:rsid w:val="00C01CA2"/>
    <w:rsid w:val="00C036BC"/>
    <w:rsid w:val="00C037B3"/>
    <w:rsid w:val="00C0478B"/>
    <w:rsid w:val="00C0542C"/>
    <w:rsid w:val="00C1159E"/>
    <w:rsid w:val="00C13A99"/>
    <w:rsid w:val="00C13E58"/>
    <w:rsid w:val="00C146C2"/>
    <w:rsid w:val="00C16F54"/>
    <w:rsid w:val="00C17281"/>
    <w:rsid w:val="00C1757E"/>
    <w:rsid w:val="00C17CFA"/>
    <w:rsid w:val="00C20992"/>
    <w:rsid w:val="00C21C96"/>
    <w:rsid w:val="00C22660"/>
    <w:rsid w:val="00C26FAC"/>
    <w:rsid w:val="00C35A30"/>
    <w:rsid w:val="00C46570"/>
    <w:rsid w:val="00C4707C"/>
    <w:rsid w:val="00C473D2"/>
    <w:rsid w:val="00C50CA8"/>
    <w:rsid w:val="00C5127A"/>
    <w:rsid w:val="00C525A4"/>
    <w:rsid w:val="00C525E9"/>
    <w:rsid w:val="00C52BF8"/>
    <w:rsid w:val="00C5302B"/>
    <w:rsid w:val="00C53794"/>
    <w:rsid w:val="00C57723"/>
    <w:rsid w:val="00C608B0"/>
    <w:rsid w:val="00C6187B"/>
    <w:rsid w:val="00C61A6B"/>
    <w:rsid w:val="00C6207B"/>
    <w:rsid w:val="00C6433C"/>
    <w:rsid w:val="00C64E96"/>
    <w:rsid w:val="00C65D94"/>
    <w:rsid w:val="00C6631C"/>
    <w:rsid w:val="00C66C99"/>
    <w:rsid w:val="00C67881"/>
    <w:rsid w:val="00C7168B"/>
    <w:rsid w:val="00C75090"/>
    <w:rsid w:val="00C751DC"/>
    <w:rsid w:val="00C8079B"/>
    <w:rsid w:val="00C8079D"/>
    <w:rsid w:val="00C84493"/>
    <w:rsid w:val="00C85062"/>
    <w:rsid w:val="00C867B9"/>
    <w:rsid w:val="00C86FC0"/>
    <w:rsid w:val="00C91828"/>
    <w:rsid w:val="00C9308C"/>
    <w:rsid w:val="00C94A0C"/>
    <w:rsid w:val="00C955CE"/>
    <w:rsid w:val="00C97022"/>
    <w:rsid w:val="00C97BA6"/>
    <w:rsid w:val="00C97DFC"/>
    <w:rsid w:val="00CA13A2"/>
    <w:rsid w:val="00CA1AA8"/>
    <w:rsid w:val="00CA2CE4"/>
    <w:rsid w:val="00CA4C32"/>
    <w:rsid w:val="00CA4E24"/>
    <w:rsid w:val="00CB0A23"/>
    <w:rsid w:val="00CB0AB7"/>
    <w:rsid w:val="00CB2331"/>
    <w:rsid w:val="00CB506A"/>
    <w:rsid w:val="00CB5B87"/>
    <w:rsid w:val="00CC04B6"/>
    <w:rsid w:val="00CC1AB2"/>
    <w:rsid w:val="00CC270F"/>
    <w:rsid w:val="00CC2783"/>
    <w:rsid w:val="00CC3FD8"/>
    <w:rsid w:val="00CC63D3"/>
    <w:rsid w:val="00CC6465"/>
    <w:rsid w:val="00CC7E4C"/>
    <w:rsid w:val="00CD0F35"/>
    <w:rsid w:val="00CD4C73"/>
    <w:rsid w:val="00CD6A58"/>
    <w:rsid w:val="00CD6D1D"/>
    <w:rsid w:val="00CD7180"/>
    <w:rsid w:val="00CE0A39"/>
    <w:rsid w:val="00CE6EB4"/>
    <w:rsid w:val="00D014E0"/>
    <w:rsid w:val="00D01787"/>
    <w:rsid w:val="00D0205C"/>
    <w:rsid w:val="00D026FF"/>
    <w:rsid w:val="00D04FF1"/>
    <w:rsid w:val="00D1067B"/>
    <w:rsid w:val="00D10CB3"/>
    <w:rsid w:val="00D10D31"/>
    <w:rsid w:val="00D1424F"/>
    <w:rsid w:val="00D142FC"/>
    <w:rsid w:val="00D17BFF"/>
    <w:rsid w:val="00D21323"/>
    <w:rsid w:val="00D222FB"/>
    <w:rsid w:val="00D236F4"/>
    <w:rsid w:val="00D33F1B"/>
    <w:rsid w:val="00D354FF"/>
    <w:rsid w:val="00D35D2D"/>
    <w:rsid w:val="00D364A2"/>
    <w:rsid w:val="00D36792"/>
    <w:rsid w:val="00D43B1B"/>
    <w:rsid w:val="00D43B7F"/>
    <w:rsid w:val="00D43E69"/>
    <w:rsid w:val="00D43FDC"/>
    <w:rsid w:val="00D44AA7"/>
    <w:rsid w:val="00D44EDF"/>
    <w:rsid w:val="00D4671B"/>
    <w:rsid w:val="00D469CB"/>
    <w:rsid w:val="00D54599"/>
    <w:rsid w:val="00D55784"/>
    <w:rsid w:val="00D61949"/>
    <w:rsid w:val="00D632DB"/>
    <w:rsid w:val="00D6648B"/>
    <w:rsid w:val="00D70779"/>
    <w:rsid w:val="00D72D01"/>
    <w:rsid w:val="00D77B5C"/>
    <w:rsid w:val="00D8392A"/>
    <w:rsid w:val="00D83970"/>
    <w:rsid w:val="00D83C5D"/>
    <w:rsid w:val="00D84B11"/>
    <w:rsid w:val="00D85B55"/>
    <w:rsid w:val="00D86271"/>
    <w:rsid w:val="00D863C1"/>
    <w:rsid w:val="00D910CA"/>
    <w:rsid w:val="00D91C3D"/>
    <w:rsid w:val="00D965A4"/>
    <w:rsid w:val="00D96CFF"/>
    <w:rsid w:val="00D97B4C"/>
    <w:rsid w:val="00DA2488"/>
    <w:rsid w:val="00DA5121"/>
    <w:rsid w:val="00DA5AF8"/>
    <w:rsid w:val="00DA6F34"/>
    <w:rsid w:val="00DB03AB"/>
    <w:rsid w:val="00DB0FD2"/>
    <w:rsid w:val="00DB3AD3"/>
    <w:rsid w:val="00DB4E8B"/>
    <w:rsid w:val="00DB5B65"/>
    <w:rsid w:val="00DB7B56"/>
    <w:rsid w:val="00DC21FB"/>
    <w:rsid w:val="00DC27B6"/>
    <w:rsid w:val="00DC3D86"/>
    <w:rsid w:val="00DD20BF"/>
    <w:rsid w:val="00DD5910"/>
    <w:rsid w:val="00DD7670"/>
    <w:rsid w:val="00DD7C15"/>
    <w:rsid w:val="00DE6C27"/>
    <w:rsid w:val="00DE7581"/>
    <w:rsid w:val="00DE771B"/>
    <w:rsid w:val="00DF0F6D"/>
    <w:rsid w:val="00DF28EF"/>
    <w:rsid w:val="00DF3E54"/>
    <w:rsid w:val="00DF4E4F"/>
    <w:rsid w:val="00DF7688"/>
    <w:rsid w:val="00E03233"/>
    <w:rsid w:val="00E05148"/>
    <w:rsid w:val="00E05E52"/>
    <w:rsid w:val="00E061DF"/>
    <w:rsid w:val="00E06CF7"/>
    <w:rsid w:val="00E071EF"/>
    <w:rsid w:val="00E16541"/>
    <w:rsid w:val="00E166A2"/>
    <w:rsid w:val="00E16DF9"/>
    <w:rsid w:val="00E171B4"/>
    <w:rsid w:val="00E206D2"/>
    <w:rsid w:val="00E2130D"/>
    <w:rsid w:val="00E304CD"/>
    <w:rsid w:val="00E32578"/>
    <w:rsid w:val="00E34877"/>
    <w:rsid w:val="00E34FC2"/>
    <w:rsid w:val="00E35647"/>
    <w:rsid w:val="00E36F78"/>
    <w:rsid w:val="00E374CE"/>
    <w:rsid w:val="00E40B1C"/>
    <w:rsid w:val="00E40FA5"/>
    <w:rsid w:val="00E42664"/>
    <w:rsid w:val="00E4546E"/>
    <w:rsid w:val="00E45553"/>
    <w:rsid w:val="00E465DF"/>
    <w:rsid w:val="00E51DA3"/>
    <w:rsid w:val="00E51FBB"/>
    <w:rsid w:val="00E5227F"/>
    <w:rsid w:val="00E5351D"/>
    <w:rsid w:val="00E549BA"/>
    <w:rsid w:val="00E5557E"/>
    <w:rsid w:val="00E571B3"/>
    <w:rsid w:val="00E604B9"/>
    <w:rsid w:val="00E63E88"/>
    <w:rsid w:val="00E65371"/>
    <w:rsid w:val="00E65EB3"/>
    <w:rsid w:val="00E66DEA"/>
    <w:rsid w:val="00E67B77"/>
    <w:rsid w:val="00E67F51"/>
    <w:rsid w:val="00E71702"/>
    <w:rsid w:val="00E72D15"/>
    <w:rsid w:val="00E7307E"/>
    <w:rsid w:val="00E74CB6"/>
    <w:rsid w:val="00E7731E"/>
    <w:rsid w:val="00E8018F"/>
    <w:rsid w:val="00E811A2"/>
    <w:rsid w:val="00E8248B"/>
    <w:rsid w:val="00E82F17"/>
    <w:rsid w:val="00E85D0C"/>
    <w:rsid w:val="00E85DAA"/>
    <w:rsid w:val="00E90F2A"/>
    <w:rsid w:val="00E91093"/>
    <w:rsid w:val="00E91786"/>
    <w:rsid w:val="00E91C5E"/>
    <w:rsid w:val="00E9230D"/>
    <w:rsid w:val="00E9649F"/>
    <w:rsid w:val="00EA0C74"/>
    <w:rsid w:val="00EA1A92"/>
    <w:rsid w:val="00EA3E23"/>
    <w:rsid w:val="00EA6B7E"/>
    <w:rsid w:val="00EB1F45"/>
    <w:rsid w:val="00EB2E27"/>
    <w:rsid w:val="00EC0324"/>
    <w:rsid w:val="00EC06D3"/>
    <w:rsid w:val="00EC0B25"/>
    <w:rsid w:val="00EC144D"/>
    <w:rsid w:val="00EC1FB0"/>
    <w:rsid w:val="00EC20D4"/>
    <w:rsid w:val="00EC3EF1"/>
    <w:rsid w:val="00EC6303"/>
    <w:rsid w:val="00EC65A2"/>
    <w:rsid w:val="00EC71D3"/>
    <w:rsid w:val="00EC7D63"/>
    <w:rsid w:val="00ED03FD"/>
    <w:rsid w:val="00ED09A0"/>
    <w:rsid w:val="00ED1FC0"/>
    <w:rsid w:val="00ED20CB"/>
    <w:rsid w:val="00ED2D70"/>
    <w:rsid w:val="00ED2E94"/>
    <w:rsid w:val="00ED3B3E"/>
    <w:rsid w:val="00ED5E07"/>
    <w:rsid w:val="00ED68F3"/>
    <w:rsid w:val="00EE1318"/>
    <w:rsid w:val="00EE4856"/>
    <w:rsid w:val="00EE4EAF"/>
    <w:rsid w:val="00EE7871"/>
    <w:rsid w:val="00EF029F"/>
    <w:rsid w:val="00EF039C"/>
    <w:rsid w:val="00EF1851"/>
    <w:rsid w:val="00EF1D70"/>
    <w:rsid w:val="00F00A1A"/>
    <w:rsid w:val="00F0238C"/>
    <w:rsid w:val="00F05B34"/>
    <w:rsid w:val="00F06F61"/>
    <w:rsid w:val="00F122EC"/>
    <w:rsid w:val="00F14CFF"/>
    <w:rsid w:val="00F1585C"/>
    <w:rsid w:val="00F16D84"/>
    <w:rsid w:val="00F23F36"/>
    <w:rsid w:val="00F24608"/>
    <w:rsid w:val="00F257B1"/>
    <w:rsid w:val="00F25AC0"/>
    <w:rsid w:val="00F26BF4"/>
    <w:rsid w:val="00F278AD"/>
    <w:rsid w:val="00F30DAB"/>
    <w:rsid w:val="00F31182"/>
    <w:rsid w:val="00F324C8"/>
    <w:rsid w:val="00F32636"/>
    <w:rsid w:val="00F3303C"/>
    <w:rsid w:val="00F35F90"/>
    <w:rsid w:val="00F36108"/>
    <w:rsid w:val="00F40146"/>
    <w:rsid w:val="00F41E25"/>
    <w:rsid w:val="00F42CD2"/>
    <w:rsid w:val="00F43EEF"/>
    <w:rsid w:val="00F44B92"/>
    <w:rsid w:val="00F52126"/>
    <w:rsid w:val="00F5781E"/>
    <w:rsid w:val="00F6209E"/>
    <w:rsid w:val="00F64D37"/>
    <w:rsid w:val="00F662E4"/>
    <w:rsid w:val="00F668D7"/>
    <w:rsid w:val="00F671D8"/>
    <w:rsid w:val="00F70532"/>
    <w:rsid w:val="00F742B2"/>
    <w:rsid w:val="00F76D93"/>
    <w:rsid w:val="00F80E0D"/>
    <w:rsid w:val="00F81E27"/>
    <w:rsid w:val="00F83440"/>
    <w:rsid w:val="00F834BD"/>
    <w:rsid w:val="00F84369"/>
    <w:rsid w:val="00F87724"/>
    <w:rsid w:val="00F90C91"/>
    <w:rsid w:val="00F92222"/>
    <w:rsid w:val="00F947BD"/>
    <w:rsid w:val="00F96669"/>
    <w:rsid w:val="00F96CDC"/>
    <w:rsid w:val="00F973CF"/>
    <w:rsid w:val="00FA0485"/>
    <w:rsid w:val="00FA259E"/>
    <w:rsid w:val="00FA2D15"/>
    <w:rsid w:val="00FA5589"/>
    <w:rsid w:val="00FB1E7F"/>
    <w:rsid w:val="00FB4D64"/>
    <w:rsid w:val="00FB5609"/>
    <w:rsid w:val="00FB5BF4"/>
    <w:rsid w:val="00FB5C77"/>
    <w:rsid w:val="00FB68B2"/>
    <w:rsid w:val="00FB776E"/>
    <w:rsid w:val="00FC1CDF"/>
    <w:rsid w:val="00FC23A2"/>
    <w:rsid w:val="00FC6992"/>
    <w:rsid w:val="00FD3529"/>
    <w:rsid w:val="00FD371B"/>
    <w:rsid w:val="00FD4C7D"/>
    <w:rsid w:val="00FD7247"/>
    <w:rsid w:val="00FD7B29"/>
    <w:rsid w:val="00FE0F65"/>
    <w:rsid w:val="00FE6701"/>
    <w:rsid w:val="00FF2616"/>
    <w:rsid w:val="00FF2A5E"/>
    <w:rsid w:val="00FF2B3D"/>
    <w:rsid w:val="00FF3330"/>
    <w:rsid w:val="00FF758C"/>
    <w:rsid w:val="01365DCE"/>
    <w:rsid w:val="0B243B52"/>
    <w:rsid w:val="0F220EF1"/>
    <w:rsid w:val="10FE7AB2"/>
    <w:rsid w:val="122F7883"/>
    <w:rsid w:val="14310DF4"/>
    <w:rsid w:val="215801CC"/>
    <w:rsid w:val="27225ADA"/>
    <w:rsid w:val="287C0F93"/>
    <w:rsid w:val="2A7F1293"/>
    <w:rsid w:val="2D7429A8"/>
    <w:rsid w:val="33166779"/>
    <w:rsid w:val="34AE6BFF"/>
    <w:rsid w:val="36062A6B"/>
    <w:rsid w:val="380C444D"/>
    <w:rsid w:val="3A821AB4"/>
    <w:rsid w:val="3C9C7C85"/>
    <w:rsid w:val="4B7E0791"/>
    <w:rsid w:val="53F57F4F"/>
    <w:rsid w:val="55B41744"/>
    <w:rsid w:val="5EB12156"/>
    <w:rsid w:val="63D80CF3"/>
    <w:rsid w:val="699466B4"/>
    <w:rsid w:val="6A850ACA"/>
    <w:rsid w:val="6C6A7E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2"/>
    <w:autoRedefine/>
    <w:qFormat/>
    <w:uiPriority w:val="9"/>
    <w:pPr>
      <w:keepNext/>
      <w:keepLines/>
      <w:outlineLvl w:val="0"/>
    </w:pPr>
    <w:rPr>
      <w:b/>
      <w:bCs/>
      <w:kern w:val="44"/>
      <w:sz w:val="24"/>
      <w:szCs w:val="24"/>
    </w:rPr>
  </w:style>
  <w:style w:type="paragraph" w:styleId="3">
    <w:name w:val="heading 2"/>
    <w:basedOn w:val="1"/>
    <w:next w:val="1"/>
    <w:link w:val="23"/>
    <w:unhideWhenUsed/>
    <w:qFormat/>
    <w:uiPriority w:val="9"/>
    <w:pPr>
      <w:keepNext/>
      <w:keepLines/>
      <w:outlineLvl w:val="1"/>
    </w:pPr>
    <w:rPr>
      <w:rFonts w:ascii="Cambria" w:hAnsi="Cambria"/>
      <w:b/>
      <w:bCs/>
      <w:szCs w:val="21"/>
      <w:lang w:val="zh-CN"/>
    </w:rPr>
  </w:style>
  <w:style w:type="paragraph" w:styleId="4">
    <w:name w:val="heading 3"/>
    <w:basedOn w:val="1"/>
    <w:next w:val="1"/>
    <w:link w:val="33"/>
    <w:autoRedefine/>
    <w:unhideWhenUsed/>
    <w:qFormat/>
    <w:uiPriority w:val="9"/>
    <w:pPr>
      <w:outlineLvl w:val="2"/>
    </w:pPr>
    <w:rPr>
      <w:b/>
      <w:szCs w:val="21"/>
      <w:lang w:val="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4"/>
    <w:semiHidden/>
    <w:unhideWhenUsed/>
    <w:qFormat/>
    <w:uiPriority w:val="99"/>
    <w:rPr>
      <w:rFonts w:ascii="宋体"/>
      <w:sz w:val="18"/>
      <w:szCs w:val="18"/>
    </w:rPr>
  </w:style>
  <w:style w:type="paragraph" w:styleId="6">
    <w:name w:val="annotation text"/>
    <w:basedOn w:val="1"/>
    <w:link w:val="31"/>
    <w:semiHidden/>
    <w:unhideWhenUsed/>
    <w:qFormat/>
    <w:uiPriority w:val="99"/>
    <w:pPr>
      <w:jc w:val="left"/>
    </w:pPr>
  </w:style>
  <w:style w:type="paragraph" w:styleId="7">
    <w:name w:val="toc 3"/>
    <w:basedOn w:val="1"/>
    <w:next w:val="1"/>
    <w:autoRedefine/>
    <w:unhideWhenUsed/>
    <w:qFormat/>
    <w:uiPriority w:val="39"/>
    <w:pPr>
      <w:ind w:left="840" w:leftChars="400"/>
    </w:pPr>
  </w:style>
  <w:style w:type="paragraph" w:styleId="8">
    <w:name w:val="Balloon Text"/>
    <w:basedOn w:val="1"/>
    <w:link w:val="20"/>
    <w:semiHidden/>
    <w:unhideWhenUsed/>
    <w:qFormat/>
    <w:uiPriority w:val="99"/>
    <w:rPr>
      <w:rFonts w:ascii="Calibri" w:hAnsi="Calibri"/>
      <w:kern w:val="0"/>
      <w:sz w:val="18"/>
      <w:szCs w:val="18"/>
    </w:rPr>
  </w:style>
  <w:style w:type="paragraph" w:styleId="9">
    <w:name w:val="footer"/>
    <w:basedOn w:val="1"/>
    <w:link w:val="26"/>
    <w:unhideWhenUsed/>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autoRedefine/>
    <w:unhideWhenUsed/>
    <w:qFormat/>
    <w:uiPriority w:val="39"/>
    <w:pPr>
      <w:tabs>
        <w:tab w:val="right" w:leader="dot" w:pos="9344"/>
      </w:tabs>
    </w:pPr>
  </w:style>
  <w:style w:type="paragraph" w:styleId="12">
    <w:name w:val="toc 2"/>
    <w:basedOn w:val="1"/>
    <w:next w:val="1"/>
    <w:autoRedefine/>
    <w:unhideWhenUsed/>
    <w:qFormat/>
    <w:uiPriority w:val="39"/>
    <w:pPr>
      <w:ind w:left="420" w:leftChars="200"/>
    </w:pPr>
  </w:style>
  <w:style w:type="paragraph" w:styleId="13">
    <w:name w:val="Title"/>
    <w:basedOn w:val="1"/>
    <w:next w:val="1"/>
    <w:link w:val="27"/>
    <w:autoRedefine/>
    <w:qFormat/>
    <w:uiPriority w:val="10"/>
    <w:pPr>
      <w:spacing w:before="240" w:after="60"/>
      <w:jc w:val="center"/>
      <w:outlineLvl w:val="0"/>
    </w:pPr>
    <w:rPr>
      <w:rFonts w:ascii="Cambria" w:hAnsi="Cambria"/>
      <w:b/>
      <w:bCs/>
      <w:kern w:val="0"/>
      <w:sz w:val="32"/>
      <w:szCs w:val="32"/>
    </w:rPr>
  </w:style>
  <w:style w:type="paragraph" w:styleId="14">
    <w:name w:val="annotation subject"/>
    <w:basedOn w:val="6"/>
    <w:next w:val="6"/>
    <w:link w:val="32"/>
    <w:semiHidden/>
    <w:unhideWhenUsed/>
    <w:qFormat/>
    <w:uiPriority w:val="99"/>
    <w:rPr>
      <w:rFonts w:ascii="Calibri" w:hAnsi="Calibri"/>
      <w:b/>
      <w:bCs/>
      <w:kern w:val="0"/>
      <w:sz w:val="20"/>
      <w:szCs w:val="20"/>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批注框文本 字符"/>
    <w:link w:val="8"/>
    <w:semiHidden/>
    <w:qFormat/>
    <w:uiPriority w:val="99"/>
    <w:rPr>
      <w:sz w:val="18"/>
      <w:szCs w:val="18"/>
    </w:rPr>
  </w:style>
  <w:style w:type="paragraph" w:styleId="21">
    <w:name w:val="List Paragraph"/>
    <w:basedOn w:val="1"/>
    <w:link w:val="35"/>
    <w:qFormat/>
    <w:uiPriority w:val="34"/>
    <w:pPr>
      <w:ind w:firstLine="420" w:firstLineChars="200"/>
    </w:pPr>
  </w:style>
  <w:style w:type="character" w:customStyle="1" w:styleId="22">
    <w:name w:val="标题 1 字符"/>
    <w:link w:val="2"/>
    <w:qFormat/>
    <w:uiPriority w:val="9"/>
    <w:rPr>
      <w:rFonts w:ascii="Times New Roman" w:hAnsi="Times New Roman"/>
      <w:b/>
      <w:bCs/>
      <w:kern w:val="44"/>
      <w:sz w:val="24"/>
      <w:szCs w:val="24"/>
    </w:rPr>
  </w:style>
  <w:style w:type="character" w:customStyle="1" w:styleId="23">
    <w:name w:val="标题 2 字符"/>
    <w:link w:val="3"/>
    <w:autoRedefine/>
    <w:qFormat/>
    <w:uiPriority w:val="9"/>
    <w:rPr>
      <w:rFonts w:ascii="Cambria" w:hAnsi="Cambria"/>
      <w:b/>
      <w:bCs/>
      <w:kern w:val="2"/>
      <w:sz w:val="21"/>
      <w:szCs w:val="21"/>
      <w:lang w:val="zh-CN"/>
    </w:rPr>
  </w:style>
  <w:style w:type="paragraph" w:customStyle="1" w:styleId="24">
    <w:name w:val="TOC 标题1"/>
    <w:basedOn w:val="2"/>
    <w:next w:val="1"/>
    <w:unhideWhenUsed/>
    <w:qFormat/>
    <w:uiPriority w:val="39"/>
    <w:pPr>
      <w:widowControl/>
      <w:spacing w:before="480" w:line="276" w:lineRule="auto"/>
      <w:jc w:val="left"/>
      <w:outlineLvl w:val="9"/>
    </w:pPr>
    <w:rPr>
      <w:rFonts w:ascii="Cambria" w:hAnsi="Cambria"/>
      <w:color w:val="365F91"/>
      <w:kern w:val="0"/>
      <w:sz w:val="28"/>
      <w:szCs w:val="28"/>
    </w:rPr>
  </w:style>
  <w:style w:type="character" w:customStyle="1" w:styleId="25">
    <w:name w:val="页眉 字符"/>
    <w:link w:val="10"/>
    <w:autoRedefine/>
    <w:qFormat/>
    <w:uiPriority w:val="99"/>
    <w:rPr>
      <w:sz w:val="18"/>
      <w:szCs w:val="18"/>
    </w:rPr>
  </w:style>
  <w:style w:type="character" w:customStyle="1" w:styleId="26">
    <w:name w:val="页脚 字符"/>
    <w:link w:val="9"/>
    <w:qFormat/>
    <w:uiPriority w:val="99"/>
    <w:rPr>
      <w:sz w:val="18"/>
      <w:szCs w:val="18"/>
    </w:rPr>
  </w:style>
  <w:style w:type="character" w:customStyle="1" w:styleId="27">
    <w:name w:val="标题 字符"/>
    <w:link w:val="13"/>
    <w:qFormat/>
    <w:uiPriority w:val="10"/>
    <w:rPr>
      <w:rFonts w:ascii="Cambria" w:hAnsi="Cambria" w:eastAsia="宋体" w:cs="Times New Roman"/>
      <w:b/>
      <w:bCs/>
      <w:sz w:val="32"/>
      <w:szCs w:val="32"/>
    </w:rPr>
  </w:style>
  <w:style w:type="paragraph" w:styleId="28">
    <w:name w:val="No Spacing"/>
    <w:link w:val="29"/>
    <w:qFormat/>
    <w:uiPriority w:val="1"/>
    <w:rPr>
      <w:rFonts w:ascii="Calibri" w:hAnsi="Calibri" w:eastAsia="宋体" w:cs="Times New Roman"/>
      <w:sz w:val="22"/>
      <w:szCs w:val="22"/>
      <w:lang w:val="en-US" w:eastAsia="zh-CN" w:bidi="ar-SA"/>
    </w:rPr>
  </w:style>
  <w:style w:type="character" w:customStyle="1" w:styleId="29">
    <w:name w:val="无间隔 字符"/>
    <w:link w:val="28"/>
    <w:qFormat/>
    <w:uiPriority w:val="1"/>
    <w:rPr>
      <w:sz w:val="22"/>
      <w:szCs w:val="22"/>
      <w:lang w:val="en-US" w:eastAsia="zh-CN" w:bidi="ar-SA"/>
    </w:rPr>
  </w:style>
  <w:style w:type="paragraph" w:customStyle="1" w:styleId="3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批注文字 字符"/>
    <w:basedOn w:val="17"/>
    <w:link w:val="6"/>
    <w:semiHidden/>
    <w:qFormat/>
    <w:uiPriority w:val="99"/>
  </w:style>
  <w:style w:type="character" w:customStyle="1" w:styleId="32">
    <w:name w:val="批注主题 字符"/>
    <w:link w:val="14"/>
    <w:semiHidden/>
    <w:qFormat/>
    <w:uiPriority w:val="99"/>
    <w:rPr>
      <w:b/>
      <w:bCs/>
    </w:rPr>
  </w:style>
  <w:style w:type="character" w:customStyle="1" w:styleId="33">
    <w:name w:val="标题 3 字符"/>
    <w:link w:val="4"/>
    <w:autoRedefine/>
    <w:qFormat/>
    <w:uiPriority w:val="9"/>
    <w:rPr>
      <w:rFonts w:ascii="Times New Roman" w:hAnsi="Times New Roman"/>
      <w:b/>
      <w:kern w:val="2"/>
      <w:sz w:val="21"/>
      <w:szCs w:val="21"/>
      <w:lang w:val="zh-CN"/>
    </w:rPr>
  </w:style>
  <w:style w:type="character" w:customStyle="1" w:styleId="34">
    <w:name w:val="文档结构图 字符"/>
    <w:basedOn w:val="17"/>
    <w:link w:val="5"/>
    <w:semiHidden/>
    <w:qFormat/>
    <w:uiPriority w:val="99"/>
    <w:rPr>
      <w:rFonts w:ascii="宋体" w:hAnsi="Times New Roman"/>
      <w:kern w:val="2"/>
      <w:sz w:val="18"/>
      <w:szCs w:val="18"/>
    </w:rPr>
  </w:style>
  <w:style w:type="character" w:customStyle="1" w:styleId="35">
    <w:name w:val="列表段落 字符"/>
    <w:link w:val="21"/>
    <w:qFormat/>
    <w:locked/>
    <w:uiPriority w:val="34"/>
    <w:rPr>
      <w:rFonts w:ascii="Times New Roman" w:hAnsi="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microsoft.com/office/2007/relationships/hdphoto" Target="media/image6.wdp"/><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j\Desktop\&#27169;&#26495;&#21021;&#27493;\&#35828;&#26126;&#20070;\&#21462;&#24471;&#35745;&#37327;&#22120;&#20855;&#35768;&#21487;&#35777;&#30340;&#20135;&#21697;&#20351;&#29992;&#35828;&#26126;&#20070;&#21442;&#3277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FE1D32-4917-4ADB-ADC8-6A7D9BE8C97C}">
  <ds:schemaRefs/>
</ds:datastoreItem>
</file>

<file path=docProps/app.xml><?xml version="1.0" encoding="utf-8"?>
<Properties xmlns="http://schemas.openxmlformats.org/officeDocument/2006/extended-properties" xmlns:vt="http://schemas.openxmlformats.org/officeDocument/2006/docPropsVTypes">
  <Template>取得计量器具许可证的产品使用说明书参考模板</Template>
  <Company>Microsoft</Company>
  <Pages>19</Pages>
  <Words>940</Words>
  <Characters>944</Characters>
  <Lines>65</Lines>
  <Paragraphs>18</Paragraphs>
  <TotalTime>3</TotalTime>
  <ScaleCrop>false</ScaleCrop>
  <LinksUpToDate>false</LinksUpToDate>
  <CharactersWithSpaces>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2024-05-08T03:44:00Z</dcterms:created>
  <dc:creator>zhj</dc:creator>
  <cp:lastModifiedBy>嗨皮~李</cp:lastModifiedBy>
  <cp:lastPrinted>2023-03-30T05:50:00Z</cp:lastPrinted>
  <dcterms:modified xsi:type="dcterms:W3CDTF">2026-04-20T07:15:41Z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DC7522D13D9841559F102EF2E6303E60_13</vt:lpwstr>
  </property>
  <property fmtid="{D5CDD505-2E9C-101B-9397-08002B2CF9AE}" pid="4" name="KSOTemplateDocerSaveRecord">
    <vt:lpwstr>eyJoZGlkIjoiZTJkOTlmN2VkZjU0Y2U5NzkwNWQ3YTZiYjE3MGYyMzAiLCJ1c2VySWQiOiI0MTY4NTkyMzEifQ==</vt:lpwstr>
  </property>
</Properties>
</file>